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5D0A9D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63B3848F">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78F15303">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67.140.10 </w:t>
            </w:r>
            <w:r>
              <w:rPr>
                <w:rFonts w:ascii="黑体" w:hAnsi="黑体" w:eastAsia="黑体"/>
                <w:sz w:val="21"/>
                <w:szCs w:val="21"/>
              </w:rPr>
              <w:fldChar w:fldCharType="end"/>
            </w:r>
            <w:bookmarkEnd w:id="0"/>
          </w:p>
        </w:tc>
      </w:tr>
      <w:tr w14:paraId="415931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B5ADA94">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67805567">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X</w:t>
            </w:r>
            <w:r>
              <w:rPr>
                <w:rFonts w:ascii="黑体" w:hAnsi="黑体" w:eastAsia="黑体"/>
                <w:sz w:val="21"/>
                <w:szCs w:val="21"/>
              </w:rPr>
              <w:t>55</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6B9582A2">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15BF6BC1">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34</w:t>
            </w:r>
            <w:r>
              <w:fldChar w:fldCharType="end"/>
            </w:r>
            <w:bookmarkEnd w:id="3"/>
          </w:p>
        </w:tc>
      </w:tr>
    </w:tbl>
    <w:p w14:paraId="61C1718B">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安徽省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552DC287">
      <w:pPr>
        <w:pStyle w:val="195"/>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t>34</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t>1325</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t>2024</w:t>
      </w:r>
      <w:r>
        <w:fldChar w:fldCharType="end"/>
      </w:r>
      <w:bookmarkEnd w:id="7"/>
    </w:p>
    <w:p w14:paraId="578C977F">
      <w:pPr>
        <w:pStyle w:val="196"/>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代替 DB 34/T 1325</w:t>
      </w:r>
      <w:r>
        <w:rPr>
          <w:rFonts w:hint="eastAsia" w:hAnsi="黑体"/>
        </w:rPr>
        <w:t>—2</w:t>
      </w:r>
      <w:r>
        <w:rPr>
          <w:rFonts w:hAnsi="黑体"/>
        </w:rPr>
        <w:t>010</w:t>
      </w:r>
      <w:r>
        <w:rPr>
          <w:rFonts w:hAnsi="黑体"/>
        </w:rPr>
        <w:fldChar w:fldCharType="end"/>
      </w:r>
      <w:bookmarkEnd w:id="8"/>
    </w:p>
    <w:p w14:paraId="479CD6E7">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66ED27BE">
      <w:pPr>
        <w:pStyle w:val="50"/>
        <w:framePr w:w="9639" w:h="6976" w:hRule="exact" w:hSpace="0" w:vSpace="0" w:wrap="around" w:hAnchor="page" w:y="6408"/>
        <w:jc w:val="center"/>
        <w:rPr>
          <w:rFonts w:ascii="黑体" w:hAnsi="黑体" w:eastAsia="黑体"/>
          <w:b w:val="0"/>
          <w:bCs w:val="0"/>
          <w:w w:val="100"/>
        </w:rPr>
      </w:pPr>
    </w:p>
    <w:p w14:paraId="331A9D55">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地理标准产品 鸦山瑞草魁</w:t>
      </w:r>
      <w:r>
        <w:fldChar w:fldCharType="end"/>
      </w:r>
      <w:bookmarkEnd w:id="9"/>
    </w:p>
    <w:p w14:paraId="1F12A2A4">
      <w:pPr>
        <w:framePr w:w="9639" w:h="6974" w:hRule="exact" w:wrap="around" w:vAnchor="page" w:hAnchor="page" w:x="1419" w:y="6408" w:anchorLock="1"/>
        <w:ind w:left="-1418"/>
      </w:pPr>
    </w:p>
    <w:p w14:paraId="28F64279">
      <w:pPr>
        <w:pStyle w:val="125"/>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hint="eastAsia" w:ascii="黑体" w:hAnsi="黑体" w:eastAsia="黑体"/>
          <w:szCs w:val="28"/>
        </w:rPr>
        <w:t>Pro</w:t>
      </w:r>
      <w:r>
        <w:rPr>
          <w:rFonts w:ascii="黑体" w:hAnsi="黑体" w:eastAsia="黑体"/>
          <w:szCs w:val="28"/>
        </w:rPr>
        <w:t xml:space="preserve">duct of Geographical Indication </w:t>
      </w:r>
      <w:r>
        <w:rPr>
          <w:rFonts w:hint="eastAsia" w:ascii="黑体" w:hAnsi="黑体" w:eastAsia="黑体"/>
          <w:szCs w:val="28"/>
        </w:rPr>
        <w:t>Ya</w:t>
      </w:r>
      <w:r>
        <w:rPr>
          <w:rFonts w:ascii="黑体" w:hAnsi="黑体" w:eastAsia="黑体"/>
          <w:szCs w:val="28"/>
        </w:rPr>
        <w:t>shan Ruicaokui</w:t>
      </w:r>
      <w:r>
        <w:rPr>
          <w:rFonts w:ascii="黑体" w:hAnsi="黑体" w:eastAsia="黑体"/>
          <w:szCs w:val="28"/>
        </w:rPr>
        <w:fldChar w:fldCharType="end"/>
      </w:r>
      <w:bookmarkEnd w:id="10"/>
    </w:p>
    <w:p w14:paraId="0A60EE15">
      <w:pPr>
        <w:framePr w:w="9639" w:h="6974" w:hRule="exact" w:wrap="around" w:vAnchor="page" w:hAnchor="page" w:x="1419" w:y="6408" w:anchorLock="1"/>
        <w:spacing w:line="760" w:lineRule="exact"/>
        <w:ind w:left="-1418"/>
      </w:pPr>
    </w:p>
    <w:p w14:paraId="439A521A">
      <w:pPr>
        <w:pStyle w:val="125"/>
        <w:framePr w:w="9639" w:h="6974" w:hRule="exact" w:wrap="around" w:vAnchor="page" w:hAnchor="page" w:x="1419" w:y="6408" w:anchorLock="1"/>
        <w:textAlignment w:val="bottom"/>
        <w:rPr>
          <w:rFonts w:eastAsia="黑体"/>
          <w:szCs w:val="28"/>
        </w:rPr>
      </w:pPr>
    </w:p>
    <w:p w14:paraId="124C8B4F">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1D8923B4">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312B673D">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69246780">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2024</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34A37942">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7E6FB80F">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安徽省市场监督管理局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6A8B2F7C">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38BC3452">
      <w:pPr>
        <w:pStyle w:val="89"/>
        <w:spacing w:before="900" w:after="468"/>
      </w:pPr>
      <w:bookmarkStart w:id="21" w:name="BookMark2"/>
      <w:r>
        <w:rPr>
          <w:spacing w:val="320"/>
        </w:rPr>
        <w:t>前</w:t>
      </w:r>
      <w:r>
        <w:t>言</w:t>
      </w:r>
    </w:p>
    <w:p w14:paraId="272FEFE1">
      <w:pPr>
        <w:pStyle w:val="56"/>
        <w:ind w:firstLine="420"/>
      </w:pPr>
      <w:r>
        <w:rPr>
          <w:rFonts w:hint="eastAsia"/>
        </w:rPr>
        <w:t>本文件按照GB/T 1.1—2020《标准化工作导则  第1部分：标准化文件的结构和起草规则》的规定起草。</w:t>
      </w:r>
    </w:p>
    <w:p w14:paraId="75124627">
      <w:pPr>
        <w:pStyle w:val="56"/>
        <w:ind w:firstLine="420"/>
      </w:pPr>
      <w:r>
        <w:rPr>
          <w:rFonts w:hint="eastAsia"/>
        </w:rPr>
        <w:t>本文件代替D</w:t>
      </w:r>
      <w:r>
        <w:t>B34/T 1325-2010</w:t>
      </w:r>
      <w:r>
        <w:rPr>
          <w:rFonts w:hint="eastAsia"/>
        </w:rPr>
        <w:t>《地理标准产品 瑞草魁茶》。与D</w:t>
      </w:r>
      <w:r>
        <w:t>B34/T 1325-2010</w:t>
      </w:r>
      <w:r>
        <w:rPr>
          <w:rFonts w:hint="eastAsia"/>
        </w:rPr>
        <w:t>相比，除编辑性修改外主要技术内容变化如下：</w:t>
      </w:r>
    </w:p>
    <w:p w14:paraId="591A47F1">
      <w:pPr>
        <w:pStyle w:val="56"/>
        <w:ind w:firstLine="420"/>
      </w:pPr>
      <w:r>
        <w:rPr>
          <w:rFonts w:hint="eastAsia"/>
        </w:rPr>
        <w:t>——修改了</w:t>
      </w:r>
      <w:r>
        <w:t>规范性引用文件</w:t>
      </w:r>
      <w:r>
        <w:rPr>
          <w:rFonts w:hint="eastAsia"/>
        </w:rPr>
        <w:t>。替换了产地自然环境、水分、总灰分、茶叶感官审评方法、茶叶包装等引用标准；增加了加工要求、茶叶贮存、限制商品过度包装要求等引用标准；删除了定量包装商品计量监督管理办法的引用。</w:t>
      </w:r>
    </w:p>
    <w:p w14:paraId="6046D977">
      <w:pPr>
        <w:pStyle w:val="56"/>
        <w:ind w:firstLine="420"/>
      </w:pPr>
      <w:r>
        <w:rPr>
          <w:rFonts w:hint="eastAsia"/>
        </w:rPr>
        <w:t>——修订了鸦山瑞草魁的定义，增加了对茶树品种的选择；</w:t>
      </w:r>
    </w:p>
    <w:p w14:paraId="1911A02C">
      <w:pPr>
        <w:pStyle w:val="56"/>
        <w:ind w:firstLine="420"/>
      </w:pPr>
      <w:r>
        <w:rPr>
          <w:rFonts w:hint="eastAsia"/>
        </w:rPr>
        <w:t>——在保护范围方面，修改了现管辖行政区域内的地名；</w:t>
      </w:r>
    </w:p>
    <w:p w14:paraId="543A67B6">
      <w:pPr>
        <w:pStyle w:val="56"/>
        <w:ind w:firstLine="420"/>
      </w:pPr>
      <w:r>
        <w:rPr>
          <w:rFonts w:hint="eastAsia"/>
        </w:rPr>
        <w:t>——在开采期方面，增加了开采时间范围（6</w:t>
      </w:r>
      <w:r>
        <w:t>.3.2.1</w:t>
      </w:r>
      <w:r>
        <w:rPr>
          <w:rFonts w:hint="eastAsia"/>
        </w:rPr>
        <w:t>）；</w:t>
      </w:r>
    </w:p>
    <w:p w14:paraId="5FA9A601">
      <w:pPr>
        <w:pStyle w:val="56"/>
        <w:ind w:firstLine="420"/>
      </w:pPr>
      <w:r>
        <w:rPr>
          <w:rFonts w:hint="eastAsia"/>
        </w:rPr>
        <w:t>——在采摘标准方面，修改了特级、三级的采摘标准要求（6</w:t>
      </w:r>
      <w:r>
        <w:t>.3.2.2</w:t>
      </w:r>
      <w:r>
        <w:rPr>
          <w:rFonts w:hint="eastAsia"/>
        </w:rPr>
        <w:t>）；</w:t>
      </w:r>
    </w:p>
    <w:p w14:paraId="0A525BFE">
      <w:pPr>
        <w:pStyle w:val="56"/>
        <w:ind w:firstLine="420"/>
      </w:pPr>
      <w:r>
        <w:rPr>
          <w:rFonts w:hint="eastAsia"/>
        </w:rPr>
        <w:t>——在鲜叶装运方面，增加了鲜叶运送到厂房后的摊放要求（6</w:t>
      </w:r>
      <w:r>
        <w:t>.3.3</w:t>
      </w:r>
      <w:r>
        <w:rPr>
          <w:rFonts w:hint="eastAsia"/>
        </w:rPr>
        <w:t>）；</w:t>
      </w:r>
    </w:p>
    <w:p w14:paraId="149FDAC5">
      <w:pPr>
        <w:pStyle w:val="56"/>
        <w:ind w:firstLine="420"/>
      </w:pPr>
      <w:r>
        <w:rPr>
          <w:rFonts w:hint="eastAsia"/>
        </w:rPr>
        <w:t>——在茶叶加工方面，增加了对加工条件的要求（6</w:t>
      </w:r>
      <w:r>
        <w:t>.4</w:t>
      </w:r>
      <w:r>
        <w:rPr>
          <w:rFonts w:hint="eastAsia"/>
        </w:rPr>
        <w:t>）；</w:t>
      </w:r>
    </w:p>
    <w:p w14:paraId="53987395">
      <w:pPr>
        <w:pStyle w:val="56"/>
        <w:ind w:firstLine="420"/>
      </w:pPr>
      <w:r>
        <w:rPr>
          <w:rFonts w:hint="eastAsia"/>
        </w:rPr>
        <w:t>——在污染物限量指标方面，删除了对铅、稀土的限量，修改为引用国家标准（6.5.4）；</w:t>
      </w:r>
    </w:p>
    <w:p w14:paraId="1A9707ED">
      <w:pPr>
        <w:pStyle w:val="56"/>
        <w:ind w:firstLine="420"/>
      </w:pPr>
      <w:r>
        <w:rPr>
          <w:rFonts w:hint="eastAsia"/>
        </w:rPr>
        <w:t>——在净含量方面，修改为引用国家技术标准（6.6）；</w:t>
      </w:r>
    </w:p>
    <w:p w14:paraId="2F17DF0C">
      <w:pPr>
        <w:pStyle w:val="56"/>
        <w:ind w:firstLine="420"/>
      </w:pPr>
      <w:r>
        <w:rPr>
          <w:rFonts w:hint="eastAsia"/>
        </w:rPr>
        <w:t>——在茶叶包装方面，删除相关具体表述，修改为引用行业与国家标准（</w:t>
      </w:r>
      <w:r>
        <w:t>9</w:t>
      </w:r>
      <w:r>
        <w:rPr>
          <w:rFonts w:hint="eastAsia"/>
        </w:rPr>
        <w:t>.</w:t>
      </w:r>
      <w:r>
        <w:t>3</w:t>
      </w:r>
      <w:r>
        <w:rPr>
          <w:rFonts w:hint="eastAsia"/>
        </w:rPr>
        <w:t>）；</w:t>
      </w:r>
    </w:p>
    <w:p w14:paraId="41D4A1EE">
      <w:pPr>
        <w:pStyle w:val="56"/>
        <w:ind w:firstLine="420"/>
      </w:pPr>
      <w:r>
        <w:rPr>
          <w:rFonts w:hint="eastAsia"/>
        </w:rPr>
        <w:t>——在茶叶贮存方面，删除相关具体表述，修改为引用国家标准（9</w:t>
      </w:r>
      <w:r>
        <w:t>.5</w:t>
      </w:r>
      <w:r>
        <w:rPr>
          <w:rFonts w:hint="eastAsia"/>
        </w:rPr>
        <w:t>）。</w:t>
      </w:r>
    </w:p>
    <w:p w14:paraId="155507BF">
      <w:pPr>
        <w:pStyle w:val="56"/>
        <w:ind w:firstLine="420"/>
      </w:pPr>
      <w:r>
        <w:rPr>
          <w:rFonts w:hint="eastAsia"/>
        </w:rPr>
        <w:t>请注意本文件的某些内容可能涉及专利。本文件的发布机构不承担识别专利的责任。</w:t>
      </w:r>
    </w:p>
    <w:p w14:paraId="7A16ED85">
      <w:pPr>
        <w:pStyle w:val="56"/>
        <w:ind w:firstLine="420"/>
      </w:pPr>
      <w:r>
        <w:rPr>
          <w:rFonts w:hint="eastAsia"/>
        </w:rPr>
        <w:t>本文件由郎溪县农业技术服务中心提出。</w:t>
      </w:r>
    </w:p>
    <w:p w14:paraId="5CA2FDED">
      <w:pPr>
        <w:pStyle w:val="56"/>
        <w:ind w:firstLine="420"/>
      </w:pPr>
      <w:r>
        <w:rPr>
          <w:rFonts w:hint="eastAsia"/>
        </w:rPr>
        <w:t>本文件由安徽省农业农村厅归口。</w:t>
      </w:r>
    </w:p>
    <w:p w14:paraId="73F45B9D">
      <w:pPr>
        <w:pStyle w:val="56"/>
        <w:ind w:firstLine="420"/>
      </w:pPr>
      <w:r>
        <w:rPr>
          <w:rFonts w:hint="eastAsia"/>
        </w:rPr>
        <w:t>本文件起草单位：郎溪县农业技术服务中心、宣城市种植业管理服务中心、郎溪县瑞草魁茶厂、安徽农业大学</w:t>
      </w:r>
    </w:p>
    <w:p w14:paraId="006B932B">
      <w:pPr>
        <w:pStyle w:val="56"/>
        <w:ind w:firstLine="420"/>
      </w:pPr>
      <w:r>
        <w:rPr>
          <w:rFonts w:hint="eastAsia"/>
        </w:rPr>
        <w:t>本文件主要起草人：戴峰、王云、汪浩、李宏兵、蒋正中、童海琴、邢小玲、周华、徐兴雨、陆丹丹、赵慧、刘阳、倪静、郑集锦、陈庆松、张显晨、李叶云</w:t>
      </w:r>
    </w:p>
    <w:p w14:paraId="39F99949">
      <w:pPr>
        <w:pStyle w:val="56"/>
        <w:ind w:firstLine="420"/>
      </w:pPr>
    </w:p>
    <w:p w14:paraId="7507D620">
      <w:pPr>
        <w:pStyle w:val="56"/>
        <w:ind w:firstLine="420"/>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p>
    <w:bookmarkEnd w:id="21"/>
    <w:p w14:paraId="6B41D9B9">
      <w:pPr>
        <w:spacing w:line="20" w:lineRule="exact"/>
        <w:jc w:val="center"/>
        <w:rPr>
          <w:rFonts w:ascii="黑体" w:hAnsi="黑体" w:eastAsia="黑体"/>
          <w:sz w:val="32"/>
          <w:szCs w:val="32"/>
        </w:rPr>
      </w:pPr>
      <w:bookmarkStart w:id="22" w:name="BookMark4"/>
    </w:p>
    <w:p w14:paraId="584A6FFD">
      <w:pPr>
        <w:spacing w:line="20" w:lineRule="exact"/>
        <w:jc w:val="center"/>
        <w:rPr>
          <w:rFonts w:ascii="黑体" w:hAnsi="黑体" w:eastAsia="黑体"/>
          <w:sz w:val="32"/>
          <w:szCs w:val="32"/>
        </w:rPr>
      </w:pPr>
    </w:p>
    <w:sdt>
      <w:sdtPr>
        <w:tag w:val="NEW_STAND_NAME"/>
        <w:id w:val="595910757"/>
        <w:lock w:val="sdtLocked"/>
        <w:placeholder>
          <w:docPart w:val="F57CC9EE5D2543E0A19306E03C8C5E5D"/>
        </w:placeholder>
      </w:sdtPr>
      <w:sdtContent>
        <w:p w14:paraId="3AB71866">
          <w:pPr>
            <w:pStyle w:val="177"/>
            <w:spacing w:before="312" w:beforeLines="100" w:after="686" w:afterLines="220"/>
          </w:pPr>
          <w:bookmarkStart w:id="23" w:name="NEW_STAND_NAME"/>
          <w:r>
            <w:rPr>
              <w:rFonts w:hint="eastAsia"/>
            </w:rPr>
            <w:t>地理标准产品</w:t>
          </w:r>
          <w:r>
            <w:t xml:space="preserve"> 鸦山瑞草魁</w:t>
          </w:r>
        </w:p>
      </w:sdtContent>
    </w:sdt>
    <w:bookmarkEnd w:id="23"/>
    <w:p w14:paraId="1D2FD294">
      <w:pPr>
        <w:pStyle w:val="104"/>
        <w:spacing w:before="312" w:after="312"/>
      </w:pPr>
      <w:bookmarkStart w:id="24" w:name="_Toc17233325"/>
      <w:bookmarkStart w:id="25" w:name="_Toc97191423"/>
      <w:bookmarkStart w:id="26" w:name="_Toc26986530"/>
      <w:bookmarkStart w:id="27" w:name="_Toc24884211"/>
      <w:bookmarkStart w:id="28" w:name="_Toc26986771"/>
      <w:bookmarkStart w:id="29" w:name="_Toc26718930"/>
      <w:bookmarkStart w:id="30" w:name="_Toc17233333"/>
      <w:bookmarkStart w:id="31" w:name="_Toc24884218"/>
      <w:bookmarkStart w:id="32" w:name="_Toc26648465"/>
      <w:r>
        <w:rPr>
          <w:rFonts w:hint="eastAsia"/>
        </w:rPr>
        <w:t>范围</w:t>
      </w:r>
      <w:bookmarkEnd w:id="24"/>
      <w:bookmarkEnd w:id="25"/>
      <w:bookmarkEnd w:id="26"/>
      <w:bookmarkEnd w:id="27"/>
      <w:bookmarkEnd w:id="28"/>
      <w:bookmarkEnd w:id="29"/>
      <w:bookmarkEnd w:id="30"/>
      <w:bookmarkEnd w:id="31"/>
      <w:bookmarkEnd w:id="32"/>
    </w:p>
    <w:p w14:paraId="4EAE4338">
      <w:pPr>
        <w:pStyle w:val="56"/>
        <w:ind w:firstLine="420"/>
      </w:pPr>
      <w:bookmarkStart w:id="33" w:name="_Toc26648466"/>
      <w:bookmarkStart w:id="34" w:name="_Toc17233334"/>
      <w:bookmarkStart w:id="35" w:name="_Toc24884212"/>
      <w:bookmarkStart w:id="36" w:name="_Toc17233326"/>
      <w:bookmarkStart w:id="37" w:name="_Toc24884219"/>
      <w:r>
        <w:rPr>
          <w:rFonts w:hint="eastAsia"/>
        </w:rPr>
        <w:t xml:space="preserve">本标准规定了地理标志产品鸦山瑞草魁的术语和定义、保护范围、分级与实物标准样、要求、试验方法、检验规则、标志、标签、包装、运输、贮存。 </w:t>
      </w:r>
    </w:p>
    <w:p w14:paraId="0E5591D0">
      <w:pPr>
        <w:pStyle w:val="56"/>
        <w:ind w:firstLine="420"/>
      </w:pPr>
      <w:r>
        <w:rPr>
          <w:rFonts w:hint="eastAsia"/>
        </w:rPr>
        <w:t>本标准适用于鸦山瑞草魁。</w:t>
      </w:r>
    </w:p>
    <w:p w14:paraId="03C7A392">
      <w:pPr>
        <w:pStyle w:val="104"/>
        <w:spacing w:before="312" w:after="312"/>
      </w:pPr>
      <w:bookmarkStart w:id="38" w:name="_Toc26986531"/>
      <w:bookmarkStart w:id="39" w:name="_Toc26718931"/>
      <w:bookmarkStart w:id="40" w:name="_Toc26986772"/>
      <w:bookmarkStart w:id="41" w:name="_Toc97191424"/>
      <w:r>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715848253"/>
        <w:placeholder>
          <w:docPart w:val="92F438B65B8F4F9F998C7AAE0C1CC12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1CDAC4B3">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0FB8C466">
      <w:pPr>
        <w:pStyle w:val="56"/>
        <w:ind w:firstLine="420"/>
      </w:pPr>
      <w:r>
        <w:rPr>
          <w:rFonts w:hint="eastAsia"/>
        </w:rPr>
        <w:t xml:space="preserve">GB/T 191 包装储运图示标志 </w:t>
      </w:r>
    </w:p>
    <w:p w14:paraId="3E532777">
      <w:pPr>
        <w:pStyle w:val="56"/>
        <w:ind w:firstLine="420"/>
      </w:pPr>
      <w:r>
        <w:rPr>
          <w:rFonts w:hint="eastAsia"/>
        </w:rPr>
        <w:t xml:space="preserve">GB 2762 食品中污染物限量 </w:t>
      </w:r>
    </w:p>
    <w:p w14:paraId="171DD2BB">
      <w:pPr>
        <w:pStyle w:val="56"/>
        <w:ind w:firstLine="420"/>
      </w:pPr>
      <w:r>
        <w:rPr>
          <w:rFonts w:hint="eastAsia"/>
        </w:rPr>
        <w:t xml:space="preserve">GB 2763 食品中农药最大残留限量 </w:t>
      </w:r>
    </w:p>
    <w:p w14:paraId="6E2A02E2">
      <w:pPr>
        <w:pStyle w:val="56"/>
        <w:ind w:firstLine="420"/>
      </w:pPr>
      <w:r>
        <w:rPr>
          <w:rFonts w:hint="eastAsia"/>
        </w:rPr>
        <w:t>GB 5009.3 食品安全国家标准 食品中水分的测定</w:t>
      </w:r>
    </w:p>
    <w:p w14:paraId="5CBD85B8">
      <w:pPr>
        <w:pStyle w:val="56"/>
        <w:ind w:firstLine="420"/>
      </w:pPr>
      <w:r>
        <w:rPr>
          <w:rFonts w:hint="eastAsia"/>
        </w:rPr>
        <w:t>GB 5009.4 食品安全国家标准 食品中灰分的测定</w:t>
      </w:r>
    </w:p>
    <w:p w14:paraId="6DBFDA27">
      <w:pPr>
        <w:pStyle w:val="56"/>
        <w:ind w:firstLine="420"/>
      </w:pPr>
      <w:r>
        <w:rPr>
          <w:rFonts w:hint="eastAsia"/>
        </w:rPr>
        <w:t xml:space="preserve">GB 7718 食品安全国家标准 预包装食品标签通则 </w:t>
      </w:r>
    </w:p>
    <w:p w14:paraId="74210319">
      <w:pPr>
        <w:pStyle w:val="56"/>
        <w:ind w:firstLine="420"/>
      </w:pPr>
      <w:r>
        <w:rPr>
          <w:rFonts w:hint="eastAsia"/>
        </w:rPr>
        <w:t>GB/T 8302</w:t>
      </w:r>
      <w:r>
        <w:t xml:space="preserve"> </w:t>
      </w:r>
      <w:r>
        <w:rPr>
          <w:rFonts w:hint="eastAsia"/>
        </w:rPr>
        <w:t xml:space="preserve">茶 取样 </w:t>
      </w:r>
    </w:p>
    <w:p w14:paraId="3180DCE1">
      <w:pPr>
        <w:pStyle w:val="56"/>
        <w:ind w:firstLine="420"/>
      </w:pPr>
      <w:r>
        <w:rPr>
          <w:rFonts w:hint="eastAsia"/>
        </w:rPr>
        <w:t xml:space="preserve">GB/T 8305 茶 水浸出物测定 </w:t>
      </w:r>
    </w:p>
    <w:p w14:paraId="37A674E3">
      <w:pPr>
        <w:pStyle w:val="56"/>
        <w:ind w:firstLine="420"/>
      </w:pPr>
      <w:r>
        <w:rPr>
          <w:rFonts w:hint="eastAsia"/>
        </w:rPr>
        <w:t xml:space="preserve">GB/T 8311 茶 粉末和碎茶含量测定 </w:t>
      </w:r>
    </w:p>
    <w:p w14:paraId="07DEF771">
      <w:pPr>
        <w:pStyle w:val="56"/>
        <w:ind w:firstLine="420"/>
      </w:pPr>
      <w:r>
        <w:rPr>
          <w:rFonts w:hint="eastAsia"/>
        </w:rPr>
        <w:t xml:space="preserve">GB/T 18795 茶叶标准样品制备技术条件 </w:t>
      </w:r>
    </w:p>
    <w:p w14:paraId="0FC76EC3">
      <w:pPr>
        <w:pStyle w:val="56"/>
        <w:ind w:firstLine="420"/>
      </w:pPr>
      <w:r>
        <w:rPr>
          <w:rFonts w:hint="eastAsia"/>
        </w:rPr>
        <w:t>GB 23350</w:t>
      </w:r>
      <w:r>
        <w:t xml:space="preserve"> </w:t>
      </w:r>
      <w:r>
        <w:rPr>
          <w:rFonts w:hint="eastAsia"/>
        </w:rPr>
        <w:t>限制商品过度包装要求 食品和化妆品</w:t>
      </w:r>
    </w:p>
    <w:p w14:paraId="70F0F7F8">
      <w:pPr>
        <w:pStyle w:val="56"/>
        <w:ind w:firstLine="420"/>
      </w:pPr>
      <w:r>
        <w:rPr>
          <w:rFonts w:hint="eastAsia"/>
        </w:rPr>
        <w:t>GB/T 30375 茶叶贮存</w:t>
      </w:r>
    </w:p>
    <w:p w14:paraId="6765C9B8">
      <w:pPr>
        <w:pStyle w:val="56"/>
        <w:ind w:firstLine="420"/>
      </w:pPr>
      <w:r>
        <w:rPr>
          <w:rFonts w:hint="eastAsia"/>
        </w:rPr>
        <w:t>GB/T 23776</w:t>
      </w:r>
      <w:r>
        <w:t xml:space="preserve"> </w:t>
      </w:r>
      <w:r>
        <w:rPr>
          <w:rFonts w:hint="eastAsia"/>
        </w:rPr>
        <w:t>茶叶感官审评方法</w:t>
      </w:r>
    </w:p>
    <w:p w14:paraId="46F895F3">
      <w:pPr>
        <w:pStyle w:val="56"/>
        <w:ind w:firstLine="420"/>
      </w:pPr>
      <w:r>
        <w:rPr>
          <w:rFonts w:hint="eastAsia"/>
        </w:rPr>
        <w:t>GB/T 32744 茶叶加工良好规范</w:t>
      </w:r>
    </w:p>
    <w:p w14:paraId="499D59A7">
      <w:pPr>
        <w:pStyle w:val="56"/>
        <w:ind w:firstLine="420"/>
      </w:pPr>
      <w:r>
        <w:rPr>
          <w:rFonts w:hint="eastAsia"/>
        </w:rPr>
        <w:t>JJF 1070 定量包装商品净含量计量检验规则</w:t>
      </w:r>
    </w:p>
    <w:p w14:paraId="3485355C">
      <w:pPr>
        <w:pStyle w:val="56"/>
        <w:ind w:firstLine="420"/>
      </w:pPr>
      <w:r>
        <w:t>NY/T 391 绿色食品 产地环境技术条件</w:t>
      </w:r>
    </w:p>
    <w:p w14:paraId="755CCE27">
      <w:pPr>
        <w:pStyle w:val="56"/>
        <w:ind w:firstLine="420"/>
      </w:pPr>
      <w:r>
        <w:rPr>
          <w:rFonts w:hint="eastAsia"/>
        </w:rPr>
        <w:t>NY/</w:t>
      </w:r>
      <w:r>
        <w:t xml:space="preserve">T 5018 </w:t>
      </w:r>
      <w:r>
        <w:rPr>
          <w:rFonts w:hint="eastAsia"/>
        </w:rPr>
        <w:t>茶叶生产技术规程</w:t>
      </w:r>
    </w:p>
    <w:p w14:paraId="045DB62B">
      <w:pPr>
        <w:pStyle w:val="56"/>
        <w:ind w:firstLine="420"/>
      </w:pPr>
      <w:r>
        <w:rPr>
          <w:rFonts w:hint="eastAsia"/>
        </w:rPr>
        <w:t>GH/T 1070 茶叶包装通则</w:t>
      </w:r>
    </w:p>
    <w:p w14:paraId="1A2236D0">
      <w:pPr>
        <w:pStyle w:val="56"/>
        <w:ind w:firstLine="420"/>
      </w:pPr>
    </w:p>
    <w:p w14:paraId="2D9D7CF7">
      <w:pPr>
        <w:pStyle w:val="104"/>
        <w:spacing w:before="312" w:after="312"/>
      </w:pPr>
      <w:bookmarkStart w:id="42" w:name="_Toc97191425"/>
      <w:r>
        <w:rPr>
          <w:rFonts w:hint="eastAsia"/>
          <w:szCs w:val="21"/>
        </w:rPr>
        <w:t>术语和定义</w:t>
      </w:r>
      <w:bookmarkEnd w:id="42"/>
    </w:p>
    <w:sdt>
      <w:sdtPr>
        <w:id w:val="-1909835108"/>
        <w:placeholder>
          <w:docPart w:val="BBDE020A61DF4924B50FCDC392D7D31C"/>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0DCFDA70">
          <w:pPr>
            <w:pStyle w:val="56"/>
            <w:ind w:firstLine="420"/>
          </w:pPr>
          <w:bookmarkStart w:id="43" w:name="_Toc26986532"/>
          <w:bookmarkEnd w:id="43"/>
          <w:r>
            <w:t>下列术语和定义适用于本文件。</w:t>
          </w:r>
        </w:p>
      </w:sdtContent>
    </w:sdt>
    <w:p w14:paraId="79FBB1D5">
      <w:pPr>
        <w:pStyle w:val="56"/>
        <w:ind w:firstLine="420"/>
      </w:pPr>
      <w:r>
        <w:rPr>
          <w:rFonts w:hint="eastAsia"/>
        </w:rPr>
        <w:t>鸦山瑞草魁 Ya</w:t>
      </w:r>
      <w:r>
        <w:t xml:space="preserve">shan </w:t>
      </w:r>
      <w:r>
        <w:rPr>
          <w:rFonts w:hint="eastAsia"/>
        </w:rPr>
        <w:t>Ruicaokui</w:t>
      </w:r>
    </w:p>
    <w:p w14:paraId="47E22C98">
      <w:pPr>
        <w:pStyle w:val="56"/>
        <w:ind w:firstLine="420"/>
      </w:pPr>
      <w:r>
        <w:rPr>
          <w:rFonts w:hint="eastAsia"/>
        </w:rPr>
        <w:t>在地理标志产品保护范围内特定的自然生态环境条件下，选用当地横纹茶种、槠叶种或从等地方良种或从中选育的无性系品种茶树的芽叶为原料，经特定的加工工艺制作而成。</w:t>
      </w:r>
    </w:p>
    <w:p w14:paraId="4AD59291">
      <w:pPr>
        <w:pStyle w:val="104"/>
        <w:spacing w:before="312" w:after="312"/>
      </w:pPr>
      <w:r>
        <w:rPr>
          <w:rFonts w:hint="eastAsia" w:hAnsi="黑体"/>
          <w:color w:val="000000"/>
          <w:szCs w:val="21"/>
        </w:rPr>
        <w:t>保护范围</w:t>
      </w:r>
    </w:p>
    <w:p w14:paraId="7E64AC39">
      <w:pPr>
        <w:pStyle w:val="56"/>
        <w:ind w:firstLine="420"/>
      </w:pPr>
      <w:r>
        <w:rPr>
          <w:rFonts w:hint="eastAsia"/>
        </w:rPr>
        <w:t>地理标志产品鸦山瑞草魁保护范围限于原中华人民共和国农业部公告第1517号划定的区域保护范围，即安徽省郎溪县现管辖的行政区域内的姚村镇、飞鲤镇、凌笪镇、十字镇、毕桥镇、建平镇、涛城镇，见附录 A。</w:t>
      </w:r>
    </w:p>
    <w:p w14:paraId="773007F5">
      <w:pPr>
        <w:pStyle w:val="104"/>
        <w:spacing w:before="312" w:after="312"/>
      </w:pPr>
      <w:r>
        <w:rPr>
          <w:rFonts w:hint="eastAsia"/>
        </w:rPr>
        <w:t>分级与实物标准样</w:t>
      </w:r>
    </w:p>
    <w:p w14:paraId="08AE2896">
      <w:pPr>
        <w:pStyle w:val="105"/>
        <w:spacing w:before="156" w:after="156"/>
      </w:pPr>
      <w:r>
        <w:rPr>
          <w:rFonts w:hint="eastAsia"/>
        </w:rPr>
        <w:t>分级</w:t>
      </w:r>
    </w:p>
    <w:p w14:paraId="1C57A93C">
      <w:pPr>
        <w:pStyle w:val="56"/>
        <w:ind w:firstLine="420"/>
      </w:pPr>
      <w:r>
        <w:rPr>
          <w:rFonts w:hint="eastAsia"/>
        </w:rPr>
        <w:t>按感官品质分为特级、一级、二级、三级。</w:t>
      </w:r>
    </w:p>
    <w:p w14:paraId="6A0412C0">
      <w:pPr>
        <w:pStyle w:val="105"/>
        <w:spacing w:before="156" w:after="156"/>
      </w:pPr>
      <w:r>
        <w:rPr>
          <w:rFonts w:hint="eastAsia"/>
        </w:rPr>
        <w:t>实物标准样</w:t>
      </w:r>
    </w:p>
    <w:p w14:paraId="3950332E">
      <w:pPr>
        <w:pStyle w:val="56"/>
        <w:ind w:firstLine="420"/>
      </w:pPr>
      <w:r>
        <w:rPr>
          <w:rFonts w:hint="eastAsia"/>
        </w:rPr>
        <w:t>每级设一个实物标准样品，每三年换样品一次。实物标准样品的制备符合 GB/T 18795 的规定。</w:t>
      </w:r>
    </w:p>
    <w:p w14:paraId="54C846F9">
      <w:pPr>
        <w:pStyle w:val="104"/>
        <w:spacing w:before="312" w:after="312"/>
      </w:pPr>
      <w:r>
        <w:rPr>
          <w:rFonts w:hint="eastAsia"/>
        </w:rPr>
        <w:t>要求</w:t>
      </w:r>
    </w:p>
    <w:p w14:paraId="2257A170">
      <w:pPr>
        <w:pStyle w:val="105"/>
        <w:spacing w:before="156" w:after="156"/>
      </w:pPr>
      <w:r>
        <w:rPr>
          <w:rFonts w:hint="eastAsia"/>
        </w:rPr>
        <w:t>自然环境</w:t>
      </w:r>
    </w:p>
    <w:p w14:paraId="16D91D82">
      <w:pPr>
        <w:pStyle w:val="230"/>
        <w:ind w:firstLine="424" w:firstLineChars="202"/>
        <w:rPr>
          <w:rFonts w:ascii="宋体" w:hAnsi="宋体"/>
          <w:color w:val="000000"/>
        </w:rPr>
      </w:pPr>
      <w:r>
        <w:rPr>
          <w:rFonts w:hint="eastAsia" w:ascii="宋体" w:hAnsi="宋体"/>
          <w:color w:val="000000"/>
        </w:rPr>
        <w:t>产地自然环境应符合</w:t>
      </w:r>
      <w:r>
        <w:rPr>
          <w:rFonts w:ascii="宋体" w:hAnsi="宋体"/>
          <w:color w:val="000000"/>
        </w:rPr>
        <w:t>NY/T 391</w:t>
      </w:r>
      <w:r>
        <w:rPr>
          <w:rFonts w:hint="eastAsia" w:ascii="宋体" w:hAnsi="宋体"/>
          <w:color w:val="000000"/>
        </w:rPr>
        <w:t>的规定。</w:t>
      </w:r>
    </w:p>
    <w:p w14:paraId="224DB335">
      <w:pPr>
        <w:pStyle w:val="105"/>
        <w:spacing w:before="156" w:after="156"/>
      </w:pPr>
      <w:r>
        <w:rPr>
          <w:rFonts w:hint="eastAsia"/>
        </w:rPr>
        <w:t>种植要求</w:t>
      </w:r>
    </w:p>
    <w:p w14:paraId="19E0CDD3">
      <w:pPr>
        <w:pStyle w:val="56"/>
        <w:ind w:firstLine="420"/>
      </w:pPr>
      <w:r>
        <w:rPr>
          <w:rFonts w:hint="eastAsia"/>
        </w:rPr>
        <w:t>按 NY/T 5018 的规定执行。</w:t>
      </w:r>
    </w:p>
    <w:p w14:paraId="6044DBC3">
      <w:pPr>
        <w:pStyle w:val="105"/>
        <w:spacing w:before="156" w:after="156"/>
      </w:pPr>
      <w:r>
        <w:rPr>
          <w:rFonts w:hint="eastAsia"/>
        </w:rPr>
        <w:t>鲜叶</w:t>
      </w:r>
    </w:p>
    <w:p w14:paraId="4CAFA5F3">
      <w:pPr>
        <w:pStyle w:val="65"/>
        <w:spacing w:before="156" w:after="156"/>
        <w:ind w:left="0"/>
      </w:pPr>
      <w:r>
        <w:rPr>
          <w:rFonts w:hint="eastAsia"/>
        </w:rPr>
        <w:t>质量要求</w:t>
      </w:r>
    </w:p>
    <w:p w14:paraId="097E3A84">
      <w:pPr>
        <w:pStyle w:val="56"/>
        <w:ind w:firstLine="420"/>
      </w:pPr>
      <w:r>
        <w:rPr>
          <w:rFonts w:hint="eastAsia"/>
        </w:rPr>
        <w:t>要求无紫色芽叶、无劣变或异味，无非茶类夹杂物。</w:t>
      </w:r>
    </w:p>
    <w:p w14:paraId="4A978842">
      <w:pPr>
        <w:pStyle w:val="65"/>
        <w:spacing w:before="156" w:after="156"/>
        <w:ind w:left="0"/>
      </w:pPr>
      <w:r>
        <w:rPr>
          <w:rFonts w:hint="eastAsia"/>
        </w:rPr>
        <w:t>采摘要求</w:t>
      </w:r>
    </w:p>
    <w:p w14:paraId="32532F8F">
      <w:pPr>
        <w:pStyle w:val="94"/>
        <w:spacing w:before="156" w:after="156"/>
      </w:pPr>
      <w:r>
        <w:rPr>
          <w:rFonts w:hint="eastAsia"/>
        </w:rPr>
        <w:t>开采期</w:t>
      </w:r>
    </w:p>
    <w:p w14:paraId="3C5443C9">
      <w:pPr>
        <w:pStyle w:val="56"/>
        <w:ind w:firstLine="420"/>
      </w:pPr>
      <w:r>
        <w:rPr>
          <w:rFonts w:hint="eastAsia"/>
        </w:rPr>
        <w:t>一般在 3 月中下旬开采。</w:t>
      </w:r>
    </w:p>
    <w:p w14:paraId="07B950C3">
      <w:pPr>
        <w:pStyle w:val="94"/>
        <w:spacing w:before="156" w:after="156"/>
      </w:pPr>
      <w:r>
        <w:rPr>
          <w:rFonts w:hint="eastAsia"/>
        </w:rPr>
        <w:t>采摘标准</w:t>
      </w:r>
    </w:p>
    <w:p w14:paraId="6B5BFB0A">
      <w:pPr>
        <w:pStyle w:val="56"/>
        <w:ind w:firstLine="420"/>
      </w:pPr>
      <w:r>
        <w:rPr>
          <w:rFonts w:hint="eastAsia"/>
        </w:rPr>
        <w:t>每批采下芽叶要求大小、嫩度、匀度、净度基本一致，无破损。各级鲜叶采摘标准应符合表1规定。</w:t>
      </w:r>
    </w:p>
    <w:p w14:paraId="42BAA34C">
      <w:pPr>
        <w:pStyle w:val="112"/>
        <w:spacing w:before="156" w:after="156"/>
        <w:ind w:left="0"/>
      </w:pPr>
      <w:r>
        <w:rPr>
          <w:rFonts w:hint="eastAsia"/>
        </w:rPr>
        <w:t>鸦山瑞草魁各级鲜叶叶采摘标准</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4667"/>
        <w:gridCol w:w="4667"/>
      </w:tblGrid>
      <w:tr w14:paraId="112A007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4667" w:type="dxa"/>
            <w:tcBorders>
              <w:top w:val="single" w:color="auto" w:sz="8" w:space="0"/>
              <w:bottom w:val="single" w:color="auto" w:sz="8" w:space="0"/>
            </w:tcBorders>
            <w:shd w:val="clear" w:color="auto" w:fill="auto"/>
            <w:vAlign w:val="center"/>
          </w:tcPr>
          <w:p w14:paraId="0D176D69">
            <w:pPr>
              <w:pStyle w:val="178"/>
            </w:pPr>
            <w:r>
              <w:rPr>
                <w:rFonts w:hint="eastAsia"/>
              </w:rPr>
              <w:t>级别</w:t>
            </w:r>
          </w:p>
        </w:tc>
        <w:tc>
          <w:tcPr>
            <w:tcW w:w="4667" w:type="dxa"/>
            <w:tcBorders>
              <w:top w:val="single" w:color="auto" w:sz="8" w:space="0"/>
              <w:bottom w:val="single" w:color="auto" w:sz="8" w:space="0"/>
            </w:tcBorders>
            <w:shd w:val="clear" w:color="auto" w:fill="auto"/>
            <w:vAlign w:val="center"/>
          </w:tcPr>
          <w:p w14:paraId="56CCFD9B">
            <w:pPr>
              <w:pStyle w:val="178"/>
            </w:pPr>
            <w:r>
              <w:rPr>
                <w:rFonts w:hint="eastAsia"/>
              </w:rPr>
              <w:t>鲜叶标准</w:t>
            </w:r>
          </w:p>
        </w:tc>
      </w:tr>
      <w:tr w14:paraId="7934A64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tcBorders>
              <w:top w:val="single" w:color="auto" w:sz="8" w:space="0"/>
            </w:tcBorders>
            <w:shd w:val="clear" w:color="auto" w:fill="auto"/>
            <w:vAlign w:val="center"/>
          </w:tcPr>
          <w:p w14:paraId="135FE6CA">
            <w:pPr>
              <w:pStyle w:val="178"/>
            </w:pPr>
            <w:r>
              <w:rPr>
                <w:rFonts w:hint="eastAsia"/>
              </w:rPr>
              <w:t>特级</w:t>
            </w:r>
          </w:p>
        </w:tc>
        <w:tc>
          <w:tcPr>
            <w:tcW w:w="4667" w:type="dxa"/>
            <w:tcBorders>
              <w:top w:val="single" w:color="auto" w:sz="8" w:space="0"/>
            </w:tcBorders>
            <w:shd w:val="clear" w:color="auto" w:fill="auto"/>
            <w:vAlign w:val="center"/>
          </w:tcPr>
          <w:p w14:paraId="612590E6">
            <w:pPr>
              <w:pStyle w:val="178"/>
            </w:pPr>
            <w:r>
              <w:rPr>
                <w:rFonts w:hint="eastAsia"/>
              </w:rPr>
              <w:t>一芽一叶≥9</w:t>
            </w:r>
            <w:r>
              <w:t>0%</w:t>
            </w:r>
          </w:p>
        </w:tc>
      </w:tr>
      <w:tr w14:paraId="6AED87B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shd w:val="clear" w:color="auto" w:fill="auto"/>
            <w:vAlign w:val="center"/>
          </w:tcPr>
          <w:p w14:paraId="73DB48F4">
            <w:pPr>
              <w:pStyle w:val="178"/>
            </w:pPr>
            <w:r>
              <w:rPr>
                <w:rFonts w:hint="eastAsia"/>
              </w:rPr>
              <w:t>一级</w:t>
            </w:r>
          </w:p>
        </w:tc>
        <w:tc>
          <w:tcPr>
            <w:tcW w:w="4667" w:type="dxa"/>
            <w:shd w:val="clear" w:color="auto" w:fill="auto"/>
            <w:vAlign w:val="center"/>
          </w:tcPr>
          <w:p w14:paraId="3E8AB925">
            <w:pPr>
              <w:pStyle w:val="178"/>
            </w:pPr>
            <w:r>
              <w:rPr>
                <w:rFonts w:hint="eastAsia"/>
              </w:rPr>
              <w:t>一芽二叶初展≥7</w:t>
            </w:r>
            <w:r>
              <w:t>0%</w:t>
            </w:r>
            <w:r>
              <w:rPr>
                <w:rFonts w:hint="eastAsia"/>
              </w:rPr>
              <w:t>、一芽二叶＜3</w:t>
            </w:r>
            <w:r>
              <w:t>0%</w:t>
            </w:r>
          </w:p>
        </w:tc>
      </w:tr>
      <w:tr w14:paraId="64C98C7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shd w:val="clear" w:color="auto" w:fill="auto"/>
            <w:vAlign w:val="center"/>
          </w:tcPr>
          <w:p w14:paraId="357BADE7">
            <w:pPr>
              <w:pStyle w:val="178"/>
            </w:pPr>
            <w:r>
              <w:rPr>
                <w:rFonts w:hint="eastAsia"/>
              </w:rPr>
              <w:t>二级</w:t>
            </w:r>
          </w:p>
        </w:tc>
        <w:tc>
          <w:tcPr>
            <w:tcW w:w="4667" w:type="dxa"/>
            <w:shd w:val="clear" w:color="auto" w:fill="auto"/>
            <w:vAlign w:val="center"/>
          </w:tcPr>
          <w:p w14:paraId="64CB42AB">
            <w:pPr>
              <w:pStyle w:val="178"/>
            </w:pPr>
            <w:r>
              <w:rPr>
                <w:rFonts w:hint="eastAsia"/>
              </w:rPr>
              <w:t>一芽二叶</w:t>
            </w:r>
          </w:p>
        </w:tc>
      </w:tr>
      <w:tr w14:paraId="02F121B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shd w:val="clear" w:color="auto" w:fill="auto"/>
            <w:vAlign w:val="center"/>
          </w:tcPr>
          <w:p w14:paraId="231E6BC0">
            <w:pPr>
              <w:pStyle w:val="178"/>
            </w:pPr>
            <w:r>
              <w:rPr>
                <w:rFonts w:hint="eastAsia"/>
              </w:rPr>
              <w:t>三级</w:t>
            </w:r>
          </w:p>
        </w:tc>
        <w:tc>
          <w:tcPr>
            <w:tcW w:w="4667" w:type="dxa"/>
            <w:shd w:val="clear" w:color="auto" w:fill="auto"/>
            <w:vAlign w:val="center"/>
          </w:tcPr>
          <w:p w14:paraId="61187944">
            <w:pPr>
              <w:pStyle w:val="178"/>
            </w:pPr>
            <w:r>
              <w:rPr>
                <w:rFonts w:hint="eastAsia"/>
              </w:rPr>
              <w:t>一芽三叶</w:t>
            </w:r>
          </w:p>
        </w:tc>
      </w:tr>
    </w:tbl>
    <w:p w14:paraId="77A70E31">
      <w:pPr>
        <w:pStyle w:val="94"/>
        <w:spacing w:before="156" w:after="156"/>
      </w:pPr>
      <w:r>
        <w:rPr>
          <w:rFonts w:hint="eastAsia"/>
        </w:rPr>
        <w:t>采摘方法</w:t>
      </w:r>
    </w:p>
    <w:p w14:paraId="5ED86E27">
      <w:pPr>
        <w:pStyle w:val="56"/>
        <w:ind w:firstLine="420"/>
      </w:pPr>
      <w:r>
        <w:rPr>
          <w:rFonts w:hint="eastAsia"/>
        </w:rPr>
        <w:t>按标准采用提手采，保持芽叶完整，无损伤。</w:t>
      </w:r>
    </w:p>
    <w:p w14:paraId="3006C4C8">
      <w:pPr>
        <w:pStyle w:val="65"/>
        <w:spacing w:before="156" w:after="156"/>
        <w:ind w:left="0"/>
        <w:rPr>
          <w:rFonts w:hAnsi="黑体"/>
          <w:color w:val="000000"/>
          <w:szCs w:val="21"/>
        </w:rPr>
      </w:pPr>
      <w:r>
        <w:rPr>
          <w:rFonts w:hint="eastAsia" w:hAnsi="黑体"/>
          <w:color w:val="000000"/>
          <w:szCs w:val="21"/>
        </w:rPr>
        <w:t>装运</w:t>
      </w:r>
    </w:p>
    <w:p w14:paraId="0EB7F4BE">
      <w:pPr>
        <w:pStyle w:val="94"/>
        <w:spacing w:before="156" w:after="156"/>
        <w:rPr>
          <w:rFonts w:ascii="宋体" w:hAnsi="宋体" w:eastAsia="宋体"/>
        </w:rPr>
      </w:pPr>
      <w:r>
        <w:rPr>
          <w:rFonts w:hint="eastAsia" w:ascii="宋体" w:hAnsi="宋体" w:eastAsia="宋体"/>
        </w:rPr>
        <w:t>使用清洁卫生、通气良好的竹制用具盛装。</w:t>
      </w:r>
    </w:p>
    <w:p w14:paraId="4234C675">
      <w:pPr>
        <w:pStyle w:val="94"/>
        <w:spacing w:before="156" w:after="156"/>
        <w:rPr>
          <w:rFonts w:ascii="宋体" w:hAnsi="宋体" w:eastAsia="宋体"/>
        </w:rPr>
      </w:pPr>
      <w:r>
        <w:rPr>
          <w:rFonts w:hint="eastAsia" w:ascii="宋体" w:hAnsi="宋体" w:eastAsia="宋体"/>
        </w:rPr>
        <w:t>鲜叶应及时运送，轻放免压，避免日晒、雨淋，防止闷热、机械损伤和有害物污染。</w:t>
      </w:r>
    </w:p>
    <w:p w14:paraId="7DAE6180">
      <w:pPr>
        <w:pStyle w:val="94"/>
        <w:spacing w:before="156" w:after="156"/>
        <w:rPr>
          <w:rFonts w:ascii="宋体" w:hAnsi="宋体" w:eastAsia="宋体"/>
        </w:rPr>
      </w:pPr>
      <w:r>
        <w:rPr>
          <w:rFonts w:hint="eastAsia" w:ascii="宋体" w:hAnsi="宋体" w:eastAsia="宋体"/>
        </w:rPr>
        <w:t>运送到厂房后要薄摊于清洁、阴凉、通风处。</w:t>
      </w:r>
    </w:p>
    <w:p w14:paraId="25DF5407">
      <w:pPr>
        <w:pStyle w:val="105"/>
        <w:spacing w:before="156" w:after="156"/>
      </w:pPr>
      <w:r>
        <w:rPr>
          <w:rFonts w:hint="eastAsia"/>
        </w:rPr>
        <w:t>茶叶加工</w:t>
      </w:r>
    </w:p>
    <w:p w14:paraId="03A75302">
      <w:pPr>
        <w:pStyle w:val="65"/>
        <w:spacing w:before="156" w:after="156"/>
        <w:ind w:left="0"/>
      </w:pPr>
      <w:r>
        <w:rPr>
          <w:rFonts w:hint="eastAsia"/>
        </w:rPr>
        <w:t>基本要求</w:t>
      </w:r>
    </w:p>
    <w:p w14:paraId="45282BA0">
      <w:pPr>
        <w:pStyle w:val="56"/>
        <w:ind w:firstLine="420"/>
      </w:pPr>
      <w:r>
        <w:rPr>
          <w:rFonts w:hint="eastAsia"/>
        </w:rPr>
        <w:t>加工条件应符合 GB/T 32744 的规定。</w:t>
      </w:r>
    </w:p>
    <w:p w14:paraId="311E5FEF">
      <w:pPr>
        <w:pStyle w:val="65"/>
        <w:spacing w:before="156" w:after="156"/>
        <w:ind w:left="0"/>
      </w:pPr>
      <w:r>
        <w:rPr>
          <w:rFonts w:hint="eastAsia"/>
        </w:rPr>
        <w:t>制作工艺</w:t>
      </w:r>
    </w:p>
    <w:p w14:paraId="75532040">
      <w:pPr>
        <w:pStyle w:val="56"/>
        <w:ind w:firstLine="420"/>
      </w:pPr>
      <w:r>
        <w:rPr>
          <w:rFonts w:hint="eastAsia"/>
        </w:rPr>
        <w:t>鲜叶摊放→杀青→做形（理条）→毛火→摊凉→足火→毛茶整理。</w:t>
      </w:r>
    </w:p>
    <w:p w14:paraId="11091B95">
      <w:pPr>
        <w:pStyle w:val="105"/>
        <w:spacing w:before="156" w:after="156"/>
      </w:pPr>
      <w:r>
        <w:rPr>
          <w:rFonts w:hint="eastAsia"/>
        </w:rPr>
        <w:t>成品茶</w:t>
      </w:r>
    </w:p>
    <w:p w14:paraId="2573DF00">
      <w:pPr>
        <w:pStyle w:val="65"/>
        <w:spacing w:before="156" w:after="156"/>
        <w:ind w:left="0"/>
      </w:pPr>
      <w:r>
        <w:rPr>
          <w:rFonts w:hint="eastAsia"/>
        </w:rPr>
        <w:t>通用要求</w:t>
      </w:r>
    </w:p>
    <w:p w14:paraId="693EBB7E">
      <w:pPr>
        <w:pStyle w:val="56"/>
        <w:ind w:firstLine="420"/>
      </w:pPr>
      <w:r>
        <w:rPr>
          <w:rFonts w:hint="eastAsia"/>
        </w:rPr>
        <w:t>品质正常，无劣变，无异味，不含非茶类夹杂物和添加剂。</w:t>
      </w:r>
    </w:p>
    <w:p w14:paraId="26ABCF54">
      <w:pPr>
        <w:pStyle w:val="65"/>
        <w:spacing w:before="156" w:after="156"/>
        <w:ind w:left="0"/>
      </w:pPr>
      <w:r>
        <w:rPr>
          <w:rFonts w:hint="eastAsia"/>
        </w:rPr>
        <w:t>感官指标</w:t>
      </w:r>
    </w:p>
    <w:p w14:paraId="283D9B57">
      <w:pPr>
        <w:pStyle w:val="56"/>
        <w:ind w:firstLine="420"/>
      </w:pPr>
      <w:r>
        <w:rPr>
          <w:rFonts w:hint="eastAsia"/>
        </w:rPr>
        <w:t>各级感官指标应符合表2的规定。</w:t>
      </w:r>
    </w:p>
    <w:p w14:paraId="5E7D1991">
      <w:pPr>
        <w:pStyle w:val="112"/>
        <w:spacing w:before="156" w:after="156"/>
        <w:ind w:left="0"/>
      </w:pPr>
      <w:r>
        <w:rPr>
          <w:rFonts w:hint="eastAsia"/>
        </w:rPr>
        <w:t>鸦山瑞草魁各级感官指标</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266"/>
        <w:gridCol w:w="2126"/>
        <w:gridCol w:w="1275"/>
        <w:gridCol w:w="1555"/>
        <w:gridCol w:w="1565"/>
        <w:gridCol w:w="1547"/>
      </w:tblGrid>
      <w:tr w14:paraId="427F1BA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266" w:type="dxa"/>
            <w:vMerge w:val="restart"/>
            <w:tcBorders>
              <w:top w:val="single" w:color="auto" w:sz="8" w:space="0"/>
            </w:tcBorders>
            <w:shd w:val="clear" w:color="auto" w:fill="auto"/>
            <w:vAlign w:val="center"/>
          </w:tcPr>
          <w:p w14:paraId="004ABC07">
            <w:pPr>
              <w:pStyle w:val="178"/>
            </w:pPr>
            <w:r>
              <w:rPr>
                <w:rFonts w:hint="eastAsia"/>
              </w:rPr>
              <w:t>级别</w:t>
            </w:r>
          </w:p>
        </w:tc>
        <w:tc>
          <w:tcPr>
            <w:tcW w:w="2126" w:type="dxa"/>
            <w:vMerge w:val="restart"/>
            <w:tcBorders>
              <w:top w:val="single" w:color="auto" w:sz="8" w:space="0"/>
            </w:tcBorders>
            <w:shd w:val="clear" w:color="auto" w:fill="auto"/>
            <w:vAlign w:val="center"/>
          </w:tcPr>
          <w:p w14:paraId="4E1BFEAE">
            <w:pPr>
              <w:pStyle w:val="178"/>
            </w:pPr>
            <w:r>
              <w:rPr>
                <w:rFonts w:hint="eastAsia"/>
              </w:rPr>
              <w:t>外形</w:t>
            </w:r>
          </w:p>
        </w:tc>
        <w:tc>
          <w:tcPr>
            <w:tcW w:w="5942" w:type="dxa"/>
            <w:gridSpan w:val="4"/>
            <w:tcBorders>
              <w:top w:val="single" w:color="auto" w:sz="8" w:space="0"/>
              <w:bottom w:val="single" w:color="auto" w:sz="8" w:space="0"/>
            </w:tcBorders>
            <w:shd w:val="clear" w:color="auto" w:fill="auto"/>
            <w:vAlign w:val="center"/>
          </w:tcPr>
          <w:p w14:paraId="23064483">
            <w:pPr>
              <w:pStyle w:val="178"/>
            </w:pPr>
            <w:r>
              <w:rPr>
                <w:rFonts w:hint="eastAsia"/>
              </w:rPr>
              <w:t>内质</w:t>
            </w:r>
          </w:p>
        </w:tc>
      </w:tr>
      <w:tr w14:paraId="7AD7AFB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vMerge w:val="continue"/>
            <w:shd w:val="clear" w:color="auto" w:fill="auto"/>
            <w:vAlign w:val="center"/>
          </w:tcPr>
          <w:p w14:paraId="215482C7">
            <w:pPr>
              <w:pStyle w:val="178"/>
            </w:pPr>
          </w:p>
        </w:tc>
        <w:tc>
          <w:tcPr>
            <w:tcW w:w="2126" w:type="dxa"/>
            <w:vMerge w:val="continue"/>
            <w:shd w:val="clear" w:color="auto" w:fill="auto"/>
            <w:vAlign w:val="center"/>
          </w:tcPr>
          <w:p w14:paraId="4229CD1B">
            <w:pPr>
              <w:pStyle w:val="178"/>
            </w:pPr>
          </w:p>
        </w:tc>
        <w:tc>
          <w:tcPr>
            <w:tcW w:w="1275" w:type="dxa"/>
            <w:tcBorders>
              <w:top w:val="single" w:color="auto" w:sz="8" w:space="0"/>
            </w:tcBorders>
            <w:shd w:val="clear" w:color="auto" w:fill="auto"/>
            <w:vAlign w:val="center"/>
          </w:tcPr>
          <w:p w14:paraId="58AE6338">
            <w:pPr>
              <w:pStyle w:val="178"/>
            </w:pPr>
            <w:r>
              <w:rPr>
                <w:rFonts w:hint="eastAsia"/>
                <w:color w:val="000000"/>
                <w:szCs w:val="18"/>
              </w:rPr>
              <w:t>香气</w:t>
            </w:r>
          </w:p>
        </w:tc>
        <w:tc>
          <w:tcPr>
            <w:tcW w:w="1555" w:type="dxa"/>
            <w:tcBorders>
              <w:top w:val="single" w:color="auto" w:sz="8" w:space="0"/>
            </w:tcBorders>
            <w:shd w:val="clear" w:color="auto" w:fill="auto"/>
            <w:vAlign w:val="center"/>
          </w:tcPr>
          <w:p w14:paraId="35213017">
            <w:pPr>
              <w:pStyle w:val="178"/>
            </w:pPr>
            <w:r>
              <w:rPr>
                <w:rFonts w:hint="eastAsia"/>
                <w:color w:val="000000"/>
                <w:szCs w:val="18"/>
              </w:rPr>
              <w:t>汤色</w:t>
            </w:r>
          </w:p>
        </w:tc>
        <w:tc>
          <w:tcPr>
            <w:tcW w:w="1565" w:type="dxa"/>
            <w:tcBorders>
              <w:top w:val="single" w:color="auto" w:sz="8" w:space="0"/>
            </w:tcBorders>
            <w:shd w:val="clear" w:color="auto" w:fill="auto"/>
            <w:vAlign w:val="center"/>
          </w:tcPr>
          <w:p w14:paraId="553EA68A">
            <w:pPr>
              <w:pStyle w:val="178"/>
            </w:pPr>
            <w:r>
              <w:rPr>
                <w:rFonts w:hint="eastAsia"/>
                <w:color w:val="000000"/>
                <w:szCs w:val="18"/>
              </w:rPr>
              <w:t>滋味</w:t>
            </w:r>
          </w:p>
        </w:tc>
        <w:tc>
          <w:tcPr>
            <w:tcW w:w="1547" w:type="dxa"/>
            <w:tcBorders>
              <w:top w:val="single" w:color="auto" w:sz="8" w:space="0"/>
            </w:tcBorders>
            <w:shd w:val="clear" w:color="auto" w:fill="auto"/>
            <w:vAlign w:val="center"/>
          </w:tcPr>
          <w:p w14:paraId="5F87E136">
            <w:pPr>
              <w:pStyle w:val="178"/>
              <w:rPr>
                <w:color w:val="000000"/>
                <w:szCs w:val="18"/>
              </w:rPr>
            </w:pPr>
            <w:r>
              <w:rPr>
                <w:rFonts w:hint="eastAsia"/>
                <w:color w:val="000000"/>
                <w:szCs w:val="18"/>
              </w:rPr>
              <w:t>叶底</w:t>
            </w:r>
          </w:p>
        </w:tc>
      </w:tr>
      <w:tr w14:paraId="15CF36E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14:paraId="3F7D6DFA">
            <w:pPr>
              <w:pStyle w:val="178"/>
            </w:pPr>
            <w:r>
              <w:rPr>
                <w:rFonts w:hint="eastAsia"/>
              </w:rPr>
              <w:t>特级</w:t>
            </w:r>
          </w:p>
        </w:tc>
        <w:tc>
          <w:tcPr>
            <w:tcW w:w="2126" w:type="dxa"/>
            <w:shd w:val="clear" w:color="auto" w:fill="auto"/>
            <w:vAlign w:val="center"/>
          </w:tcPr>
          <w:p w14:paraId="49F0EFF4">
            <w:pPr>
              <w:pStyle w:val="178"/>
            </w:pPr>
            <w:r>
              <w:rPr>
                <w:rFonts w:hint="eastAsia"/>
                <w:color w:val="000000"/>
                <w:szCs w:val="18"/>
              </w:rPr>
              <w:t>挺直显毫，匀齐，形似绿剑，嫩绿透翠</w:t>
            </w:r>
          </w:p>
        </w:tc>
        <w:tc>
          <w:tcPr>
            <w:tcW w:w="1275" w:type="dxa"/>
            <w:shd w:val="clear" w:color="auto" w:fill="auto"/>
            <w:vAlign w:val="center"/>
          </w:tcPr>
          <w:p w14:paraId="3B323F34">
            <w:pPr>
              <w:pStyle w:val="178"/>
            </w:pPr>
            <w:r>
              <w:rPr>
                <w:rFonts w:hint="eastAsia"/>
                <w:color w:val="000000"/>
                <w:szCs w:val="18"/>
              </w:rPr>
              <w:t>清香高持久</w:t>
            </w:r>
          </w:p>
        </w:tc>
        <w:tc>
          <w:tcPr>
            <w:tcW w:w="1555" w:type="dxa"/>
            <w:shd w:val="clear" w:color="auto" w:fill="auto"/>
            <w:vAlign w:val="center"/>
          </w:tcPr>
          <w:p w14:paraId="11AF8662">
            <w:pPr>
              <w:pStyle w:val="178"/>
            </w:pPr>
            <w:r>
              <w:rPr>
                <w:rFonts w:hint="eastAsia"/>
                <w:color w:val="000000"/>
                <w:szCs w:val="18"/>
              </w:rPr>
              <w:t>嫩绿清澈鲜亮</w:t>
            </w:r>
          </w:p>
        </w:tc>
        <w:tc>
          <w:tcPr>
            <w:tcW w:w="1565" w:type="dxa"/>
            <w:shd w:val="clear" w:color="auto" w:fill="auto"/>
            <w:vAlign w:val="center"/>
          </w:tcPr>
          <w:p w14:paraId="15C324F0">
            <w:pPr>
              <w:pStyle w:val="178"/>
            </w:pPr>
            <w:r>
              <w:rPr>
                <w:rFonts w:hint="eastAsia"/>
                <w:color w:val="000000"/>
                <w:szCs w:val="18"/>
              </w:rPr>
              <w:t>鲜醇爽回甘</w:t>
            </w:r>
          </w:p>
        </w:tc>
        <w:tc>
          <w:tcPr>
            <w:tcW w:w="1547" w:type="dxa"/>
            <w:shd w:val="clear" w:color="auto" w:fill="auto"/>
            <w:vAlign w:val="center"/>
          </w:tcPr>
          <w:p w14:paraId="7A6CBBAA">
            <w:pPr>
              <w:pStyle w:val="178"/>
              <w:rPr>
                <w:color w:val="000000"/>
                <w:szCs w:val="18"/>
              </w:rPr>
            </w:pPr>
            <w:r>
              <w:rPr>
                <w:rFonts w:hint="eastAsia"/>
                <w:color w:val="000000"/>
                <w:szCs w:val="18"/>
              </w:rPr>
              <w:t>嫩绿</w:t>
            </w:r>
          </w:p>
          <w:p w14:paraId="3868569A">
            <w:pPr>
              <w:pStyle w:val="178"/>
            </w:pPr>
            <w:r>
              <w:rPr>
                <w:rFonts w:hint="eastAsia"/>
                <w:color w:val="000000"/>
                <w:szCs w:val="18"/>
              </w:rPr>
              <w:t>匀亮鲜活</w:t>
            </w:r>
          </w:p>
        </w:tc>
      </w:tr>
      <w:tr w14:paraId="0D01C48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14:paraId="4978FC8D">
            <w:pPr>
              <w:pStyle w:val="178"/>
            </w:pPr>
            <w:r>
              <w:rPr>
                <w:rFonts w:hint="eastAsia"/>
              </w:rPr>
              <w:t>一级</w:t>
            </w:r>
          </w:p>
        </w:tc>
        <w:tc>
          <w:tcPr>
            <w:tcW w:w="2126" w:type="dxa"/>
            <w:shd w:val="clear" w:color="auto" w:fill="auto"/>
            <w:vAlign w:val="center"/>
          </w:tcPr>
          <w:p w14:paraId="417D8A82">
            <w:pPr>
              <w:pStyle w:val="178"/>
            </w:pPr>
            <w:r>
              <w:rPr>
                <w:rFonts w:hint="eastAsia"/>
                <w:color w:val="000000"/>
                <w:szCs w:val="18"/>
              </w:rPr>
              <w:t>挺直透毫，匀齐，形似绿剑，嫩绿透翠</w:t>
            </w:r>
          </w:p>
        </w:tc>
        <w:tc>
          <w:tcPr>
            <w:tcW w:w="1275" w:type="dxa"/>
            <w:shd w:val="clear" w:color="auto" w:fill="auto"/>
            <w:vAlign w:val="center"/>
          </w:tcPr>
          <w:p w14:paraId="08377C8A">
            <w:pPr>
              <w:pStyle w:val="178"/>
            </w:pPr>
            <w:r>
              <w:rPr>
                <w:rFonts w:hint="eastAsia"/>
                <w:color w:val="000000"/>
                <w:szCs w:val="18"/>
              </w:rPr>
              <w:t>清香持久</w:t>
            </w:r>
          </w:p>
        </w:tc>
        <w:tc>
          <w:tcPr>
            <w:tcW w:w="1555" w:type="dxa"/>
            <w:shd w:val="clear" w:color="auto" w:fill="auto"/>
            <w:vAlign w:val="center"/>
          </w:tcPr>
          <w:p w14:paraId="53B16F68">
            <w:pPr>
              <w:pStyle w:val="178"/>
            </w:pPr>
            <w:r>
              <w:rPr>
                <w:rFonts w:hint="eastAsia"/>
                <w:color w:val="000000"/>
                <w:szCs w:val="18"/>
              </w:rPr>
              <w:t>嫩绿清澈明亮</w:t>
            </w:r>
          </w:p>
        </w:tc>
        <w:tc>
          <w:tcPr>
            <w:tcW w:w="1565" w:type="dxa"/>
            <w:shd w:val="clear" w:color="auto" w:fill="auto"/>
            <w:vAlign w:val="center"/>
          </w:tcPr>
          <w:p w14:paraId="590BC83D">
            <w:pPr>
              <w:pStyle w:val="178"/>
            </w:pPr>
            <w:r>
              <w:rPr>
                <w:rFonts w:hint="eastAsia"/>
                <w:color w:val="000000"/>
                <w:szCs w:val="18"/>
              </w:rPr>
              <w:t>鲜醇爽</w:t>
            </w:r>
          </w:p>
        </w:tc>
        <w:tc>
          <w:tcPr>
            <w:tcW w:w="1547" w:type="dxa"/>
            <w:shd w:val="clear" w:color="auto" w:fill="auto"/>
            <w:vAlign w:val="center"/>
          </w:tcPr>
          <w:p w14:paraId="340DB5BC">
            <w:pPr>
              <w:pStyle w:val="178"/>
            </w:pPr>
            <w:r>
              <w:rPr>
                <w:rFonts w:hint="eastAsia"/>
                <w:color w:val="000000"/>
                <w:szCs w:val="18"/>
              </w:rPr>
              <w:t>嫩绿明亮</w:t>
            </w:r>
          </w:p>
        </w:tc>
      </w:tr>
      <w:tr w14:paraId="60E4ABF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14:paraId="17DCBFEA">
            <w:pPr>
              <w:pStyle w:val="178"/>
            </w:pPr>
            <w:r>
              <w:rPr>
                <w:rFonts w:hint="eastAsia"/>
              </w:rPr>
              <w:t>二级</w:t>
            </w:r>
          </w:p>
        </w:tc>
        <w:tc>
          <w:tcPr>
            <w:tcW w:w="2126" w:type="dxa"/>
            <w:shd w:val="clear" w:color="auto" w:fill="auto"/>
            <w:vAlign w:val="center"/>
          </w:tcPr>
          <w:p w14:paraId="0ABB442F">
            <w:pPr>
              <w:pStyle w:val="178"/>
            </w:pPr>
            <w:r>
              <w:rPr>
                <w:rFonts w:hint="eastAsia"/>
                <w:color w:val="000000"/>
                <w:szCs w:val="18"/>
              </w:rPr>
              <w:t>挺直隐毫，较匀齐，形似绿剑，嫩绿</w:t>
            </w:r>
          </w:p>
        </w:tc>
        <w:tc>
          <w:tcPr>
            <w:tcW w:w="1275" w:type="dxa"/>
            <w:shd w:val="clear" w:color="auto" w:fill="auto"/>
            <w:vAlign w:val="center"/>
          </w:tcPr>
          <w:p w14:paraId="4D338030">
            <w:pPr>
              <w:pStyle w:val="178"/>
            </w:pPr>
            <w:r>
              <w:rPr>
                <w:rFonts w:hint="eastAsia"/>
                <w:color w:val="000000"/>
                <w:szCs w:val="18"/>
              </w:rPr>
              <w:t>清香较持久</w:t>
            </w:r>
          </w:p>
        </w:tc>
        <w:tc>
          <w:tcPr>
            <w:tcW w:w="1555" w:type="dxa"/>
            <w:shd w:val="clear" w:color="auto" w:fill="auto"/>
            <w:vAlign w:val="center"/>
          </w:tcPr>
          <w:p w14:paraId="4BC9855B">
            <w:pPr>
              <w:pStyle w:val="178"/>
            </w:pPr>
            <w:r>
              <w:rPr>
                <w:rFonts w:hint="eastAsia"/>
                <w:color w:val="000000"/>
                <w:szCs w:val="18"/>
              </w:rPr>
              <w:t>嫩绿明亮</w:t>
            </w:r>
          </w:p>
        </w:tc>
        <w:tc>
          <w:tcPr>
            <w:tcW w:w="1565" w:type="dxa"/>
            <w:shd w:val="clear" w:color="auto" w:fill="auto"/>
            <w:vAlign w:val="center"/>
          </w:tcPr>
          <w:p w14:paraId="0D0DDEAF">
            <w:pPr>
              <w:pStyle w:val="178"/>
            </w:pPr>
            <w:r>
              <w:rPr>
                <w:rFonts w:hint="eastAsia"/>
                <w:color w:val="000000"/>
                <w:szCs w:val="18"/>
              </w:rPr>
              <w:t>鲜醇厚</w:t>
            </w:r>
          </w:p>
        </w:tc>
        <w:tc>
          <w:tcPr>
            <w:tcW w:w="1547" w:type="dxa"/>
            <w:shd w:val="clear" w:color="auto" w:fill="auto"/>
            <w:vAlign w:val="center"/>
          </w:tcPr>
          <w:p w14:paraId="6824A541">
            <w:pPr>
              <w:pStyle w:val="178"/>
            </w:pPr>
            <w:r>
              <w:rPr>
                <w:rFonts w:hint="eastAsia"/>
                <w:color w:val="000000"/>
                <w:szCs w:val="18"/>
              </w:rPr>
              <w:t>较嫩匀，黄绿亮</w:t>
            </w:r>
          </w:p>
        </w:tc>
      </w:tr>
      <w:tr w14:paraId="1BD1587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14:paraId="3FA61E83">
            <w:pPr>
              <w:pStyle w:val="178"/>
            </w:pPr>
            <w:r>
              <w:rPr>
                <w:rFonts w:hint="eastAsia"/>
              </w:rPr>
              <w:t>三级</w:t>
            </w:r>
          </w:p>
        </w:tc>
        <w:tc>
          <w:tcPr>
            <w:tcW w:w="2126" w:type="dxa"/>
            <w:shd w:val="clear" w:color="auto" w:fill="auto"/>
            <w:vAlign w:val="center"/>
          </w:tcPr>
          <w:p w14:paraId="62ED6420">
            <w:pPr>
              <w:pStyle w:val="178"/>
            </w:pPr>
            <w:r>
              <w:rPr>
                <w:rFonts w:hint="eastAsia"/>
                <w:color w:val="000000"/>
                <w:szCs w:val="18"/>
              </w:rPr>
              <w:t>挺直，尚匀齐，形似绿剑，较嫩绿</w:t>
            </w:r>
          </w:p>
        </w:tc>
        <w:tc>
          <w:tcPr>
            <w:tcW w:w="1275" w:type="dxa"/>
            <w:shd w:val="clear" w:color="auto" w:fill="auto"/>
            <w:vAlign w:val="center"/>
          </w:tcPr>
          <w:p w14:paraId="482705FA">
            <w:pPr>
              <w:pStyle w:val="178"/>
            </w:pPr>
            <w:r>
              <w:rPr>
                <w:rFonts w:hint="eastAsia"/>
                <w:color w:val="000000"/>
                <w:szCs w:val="18"/>
              </w:rPr>
              <w:t>清香尚持久</w:t>
            </w:r>
          </w:p>
        </w:tc>
        <w:tc>
          <w:tcPr>
            <w:tcW w:w="1555" w:type="dxa"/>
            <w:shd w:val="clear" w:color="auto" w:fill="auto"/>
            <w:vAlign w:val="center"/>
          </w:tcPr>
          <w:p w14:paraId="1C1D264F">
            <w:pPr>
              <w:pStyle w:val="178"/>
            </w:pPr>
            <w:r>
              <w:rPr>
                <w:rFonts w:hint="eastAsia"/>
                <w:color w:val="000000"/>
                <w:szCs w:val="18"/>
              </w:rPr>
              <w:t>黄绿亮</w:t>
            </w:r>
          </w:p>
        </w:tc>
        <w:tc>
          <w:tcPr>
            <w:tcW w:w="1565" w:type="dxa"/>
            <w:shd w:val="clear" w:color="auto" w:fill="auto"/>
            <w:vAlign w:val="center"/>
          </w:tcPr>
          <w:p w14:paraId="25535A0D">
            <w:pPr>
              <w:pStyle w:val="178"/>
            </w:pPr>
            <w:r>
              <w:rPr>
                <w:rFonts w:hint="eastAsia"/>
                <w:color w:val="000000"/>
                <w:szCs w:val="18"/>
              </w:rPr>
              <w:t>醇厚</w:t>
            </w:r>
          </w:p>
        </w:tc>
        <w:tc>
          <w:tcPr>
            <w:tcW w:w="1547" w:type="dxa"/>
            <w:shd w:val="clear" w:color="auto" w:fill="auto"/>
            <w:vAlign w:val="center"/>
          </w:tcPr>
          <w:p w14:paraId="09B264CA">
            <w:pPr>
              <w:pStyle w:val="178"/>
            </w:pPr>
            <w:r>
              <w:rPr>
                <w:rFonts w:hint="eastAsia"/>
                <w:color w:val="000000"/>
                <w:szCs w:val="18"/>
              </w:rPr>
              <w:t>尚嫩匀，黄绿较亮</w:t>
            </w:r>
          </w:p>
        </w:tc>
      </w:tr>
    </w:tbl>
    <w:p w14:paraId="493BF18C">
      <w:pPr>
        <w:pStyle w:val="65"/>
        <w:spacing w:before="156" w:after="156"/>
      </w:pPr>
      <w:r>
        <w:rPr>
          <w:rFonts w:hint="eastAsia"/>
        </w:rPr>
        <w:t>理化指标</w:t>
      </w:r>
    </w:p>
    <w:p w14:paraId="1BAE6EAA">
      <w:pPr>
        <w:pStyle w:val="56"/>
        <w:ind w:firstLine="420"/>
        <w:rPr>
          <w:color w:val="000000"/>
          <w:szCs w:val="21"/>
        </w:rPr>
      </w:pPr>
      <w:r>
        <w:rPr>
          <w:rFonts w:hint="eastAsia"/>
          <w:color w:val="000000"/>
          <w:szCs w:val="21"/>
        </w:rPr>
        <w:t>应符合表3的规定。</w:t>
      </w:r>
    </w:p>
    <w:p w14:paraId="0DD82B54">
      <w:pPr>
        <w:pStyle w:val="112"/>
        <w:spacing w:before="156" w:after="156"/>
        <w:ind w:left="0"/>
      </w:pPr>
      <w:r>
        <w:rPr>
          <w:rFonts w:hint="eastAsia"/>
        </w:rPr>
        <w:t>鸦山瑞草魁理化指标</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4667"/>
        <w:gridCol w:w="4667"/>
      </w:tblGrid>
      <w:tr w14:paraId="3592A1A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4667" w:type="dxa"/>
            <w:tcBorders>
              <w:top w:val="single" w:color="auto" w:sz="8" w:space="0"/>
              <w:bottom w:val="single" w:color="auto" w:sz="8" w:space="0"/>
            </w:tcBorders>
            <w:shd w:val="clear" w:color="auto" w:fill="auto"/>
            <w:vAlign w:val="center"/>
          </w:tcPr>
          <w:p w14:paraId="3902F881">
            <w:pPr>
              <w:pStyle w:val="178"/>
            </w:pPr>
            <w:r>
              <w:rPr>
                <w:rFonts w:hint="eastAsia"/>
              </w:rPr>
              <w:t>项目</w:t>
            </w:r>
          </w:p>
        </w:tc>
        <w:tc>
          <w:tcPr>
            <w:tcW w:w="4667" w:type="dxa"/>
            <w:tcBorders>
              <w:top w:val="single" w:color="auto" w:sz="8" w:space="0"/>
              <w:bottom w:val="single" w:color="auto" w:sz="8" w:space="0"/>
            </w:tcBorders>
            <w:shd w:val="clear" w:color="auto" w:fill="auto"/>
            <w:vAlign w:val="center"/>
          </w:tcPr>
          <w:p w14:paraId="42042F2D">
            <w:pPr>
              <w:pStyle w:val="178"/>
            </w:pPr>
            <w:r>
              <w:rPr>
                <w:rFonts w:hint="eastAsia"/>
              </w:rPr>
              <w:t>指标</w:t>
            </w:r>
          </w:p>
        </w:tc>
      </w:tr>
      <w:tr w14:paraId="2D7C49C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tcBorders>
              <w:top w:val="single" w:color="auto" w:sz="8" w:space="0"/>
            </w:tcBorders>
            <w:shd w:val="clear" w:color="auto" w:fill="auto"/>
            <w:vAlign w:val="center"/>
          </w:tcPr>
          <w:p w14:paraId="55511288">
            <w:pPr>
              <w:pStyle w:val="178"/>
            </w:pPr>
            <w:r>
              <w:rPr>
                <w:rFonts w:hint="eastAsia"/>
              </w:rPr>
              <w:t>水分，</w:t>
            </w:r>
            <w:r>
              <w:t>%</w:t>
            </w:r>
          </w:p>
        </w:tc>
        <w:tc>
          <w:tcPr>
            <w:tcW w:w="4667" w:type="dxa"/>
            <w:tcBorders>
              <w:top w:val="single" w:color="auto" w:sz="8" w:space="0"/>
            </w:tcBorders>
            <w:shd w:val="clear" w:color="auto" w:fill="auto"/>
            <w:vAlign w:val="center"/>
          </w:tcPr>
          <w:p w14:paraId="2240DD73">
            <w:pPr>
              <w:pStyle w:val="178"/>
            </w:pPr>
            <w:r>
              <w:rPr>
                <w:rFonts w:hint="eastAsia"/>
              </w:rPr>
              <w:t>≤6</w:t>
            </w:r>
            <w:r>
              <w:t>.0</w:t>
            </w:r>
          </w:p>
        </w:tc>
      </w:tr>
      <w:tr w14:paraId="32E16C5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shd w:val="clear" w:color="auto" w:fill="auto"/>
            <w:vAlign w:val="center"/>
          </w:tcPr>
          <w:p w14:paraId="14278907">
            <w:pPr>
              <w:pStyle w:val="178"/>
            </w:pPr>
            <w:r>
              <w:rPr>
                <w:rFonts w:hint="eastAsia"/>
              </w:rPr>
              <w:t>粉末，%</w:t>
            </w:r>
          </w:p>
        </w:tc>
        <w:tc>
          <w:tcPr>
            <w:tcW w:w="4667" w:type="dxa"/>
            <w:shd w:val="clear" w:color="auto" w:fill="auto"/>
            <w:vAlign w:val="center"/>
          </w:tcPr>
          <w:p w14:paraId="4BC07F53">
            <w:pPr>
              <w:pStyle w:val="178"/>
            </w:pPr>
            <w:r>
              <w:rPr>
                <w:rFonts w:hint="eastAsia"/>
              </w:rPr>
              <w:t>≤0</w:t>
            </w:r>
            <w:r>
              <w:t>.5</w:t>
            </w:r>
          </w:p>
        </w:tc>
      </w:tr>
      <w:tr w14:paraId="1165FAB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shd w:val="clear" w:color="auto" w:fill="auto"/>
            <w:vAlign w:val="center"/>
          </w:tcPr>
          <w:p w14:paraId="0D053F1D">
            <w:pPr>
              <w:pStyle w:val="178"/>
            </w:pPr>
            <w:r>
              <w:rPr>
                <w:rFonts w:hint="eastAsia"/>
              </w:rPr>
              <w:t>总灰分，%</w:t>
            </w:r>
          </w:p>
        </w:tc>
        <w:tc>
          <w:tcPr>
            <w:tcW w:w="4667" w:type="dxa"/>
            <w:shd w:val="clear" w:color="auto" w:fill="auto"/>
            <w:vAlign w:val="center"/>
          </w:tcPr>
          <w:p w14:paraId="1D52ED4A">
            <w:pPr>
              <w:pStyle w:val="178"/>
            </w:pPr>
            <w:r>
              <w:rPr>
                <w:rFonts w:hint="eastAsia"/>
              </w:rPr>
              <w:t>≤6</w:t>
            </w:r>
            <w:r>
              <w:t>.5</w:t>
            </w:r>
          </w:p>
        </w:tc>
      </w:tr>
      <w:tr w14:paraId="00A04BA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shd w:val="clear" w:color="auto" w:fill="auto"/>
            <w:vAlign w:val="center"/>
          </w:tcPr>
          <w:p w14:paraId="1050E9BF">
            <w:pPr>
              <w:pStyle w:val="178"/>
            </w:pPr>
            <w:r>
              <w:rPr>
                <w:rFonts w:hint="eastAsia"/>
              </w:rPr>
              <w:t>水浸出物，%</w:t>
            </w:r>
          </w:p>
        </w:tc>
        <w:tc>
          <w:tcPr>
            <w:tcW w:w="4667" w:type="dxa"/>
            <w:shd w:val="clear" w:color="auto" w:fill="auto"/>
            <w:vAlign w:val="center"/>
          </w:tcPr>
          <w:p w14:paraId="0B240A00">
            <w:pPr>
              <w:pStyle w:val="178"/>
            </w:pPr>
            <w:r>
              <w:rPr>
                <w:rFonts w:hint="eastAsia"/>
              </w:rPr>
              <w:t>≥3</w:t>
            </w:r>
            <w:r>
              <w:t>5.0</w:t>
            </w:r>
          </w:p>
        </w:tc>
      </w:tr>
    </w:tbl>
    <w:p w14:paraId="20836BF0">
      <w:pPr>
        <w:pStyle w:val="65"/>
        <w:spacing w:before="156" w:after="156"/>
        <w:ind w:left="0"/>
      </w:pPr>
      <w:r>
        <w:rPr>
          <w:rFonts w:hint="eastAsia"/>
        </w:rPr>
        <w:t>污染物限量指标</w:t>
      </w:r>
    </w:p>
    <w:p w14:paraId="6CD08BFC">
      <w:pPr>
        <w:pStyle w:val="56"/>
        <w:ind w:firstLine="420"/>
      </w:pPr>
      <w:r>
        <w:rPr>
          <w:rFonts w:hint="eastAsia"/>
        </w:rPr>
        <w:t>应符合GB/T 2762</w:t>
      </w:r>
      <w:r>
        <w:t xml:space="preserve"> </w:t>
      </w:r>
      <w:r>
        <w:rPr>
          <w:rFonts w:hint="eastAsia"/>
        </w:rPr>
        <w:t>的规定。</w:t>
      </w:r>
    </w:p>
    <w:p w14:paraId="179737ED">
      <w:pPr>
        <w:pStyle w:val="65"/>
        <w:spacing w:before="156" w:after="156"/>
        <w:ind w:left="0"/>
      </w:pPr>
      <w:r>
        <w:rPr>
          <w:rFonts w:hint="eastAsia"/>
        </w:rPr>
        <w:t>农药最大残留量指标</w:t>
      </w:r>
    </w:p>
    <w:p w14:paraId="1F493439">
      <w:pPr>
        <w:pStyle w:val="56"/>
        <w:ind w:firstLine="420"/>
      </w:pPr>
      <w:r>
        <w:rPr>
          <w:rFonts w:hint="eastAsia"/>
        </w:rPr>
        <w:t>应符合GB/T 2763</w:t>
      </w:r>
      <w:r>
        <w:t xml:space="preserve"> </w:t>
      </w:r>
      <w:r>
        <w:rPr>
          <w:rFonts w:hint="eastAsia"/>
        </w:rPr>
        <w:t>的规定。</w:t>
      </w:r>
    </w:p>
    <w:p w14:paraId="5665403A">
      <w:pPr>
        <w:pStyle w:val="162"/>
      </w:pPr>
      <w:r>
        <w:rPr>
          <w:rFonts w:hint="eastAsia" w:ascii="黑体" w:hAnsi="黑体" w:eastAsia="黑体"/>
          <w:color w:val="000000"/>
          <w:szCs w:val="21"/>
        </w:rPr>
        <w:t>净含量</w:t>
      </w:r>
    </w:p>
    <w:p w14:paraId="055DE2E4">
      <w:pPr>
        <w:pStyle w:val="56"/>
        <w:ind w:firstLine="420"/>
      </w:pPr>
      <w:r>
        <w:rPr>
          <w:rFonts w:hint="eastAsia"/>
        </w:rPr>
        <w:t>应符合 JJF 1070</w:t>
      </w:r>
      <w:r>
        <w:t xml:space="preserve"> </w:t>
      </w:r>
      <w:r>
        <w:rPr>
          <w:rFonts w:hint="eastAsia"/>
        </w:rPr>
        <w:t>规定。</w:t>
      </w:r>
    </w:p>
    <w:p w14:paraId="7DD5F4EE">
      <w:pPr>
        <w:pStyle w:val="104"/>
        <w:spacing w:before="312" w:after="312"/>
      </w:pPr>
      <w:r>
        <w:rPr>
          <w:rFonts w:hint="eastAsia"/>
        </w:rPr>
        <w:t>试验方法</w:t>
      </w:r>
    </w:p>
    <w:p w14:paraId="14223FD5">
      <w:pPr>
        <w:pStyle w:val="105"/>
        <w:spacing w:before="156" w:after="156"/>
      </w:pPr>
      <w:r>
        <w:rPr>
          <w:rFonts w:hint="eastAsia"/>
        </w:rPr>
        <w:t>取样</w:t>
      </w:r>
    </w:p>
    <w:p w14:paraId="00F77B1E">
      <w:pPr>
        <w:pStyle w:val="56"/>
        <w:ind w:firstLine="420"/>
      </w:pPr>
      <w:r>
        <w:rPr>
          <w:rFonts w:hint="eastAsia"/>
        </w:rPr>
        <w:t>按 GB/T 8302</w:t>
      </w:r>
      <w:r>
        <w:t xml:space="preserve"> </w:t>
      </w:r>
      <w:r>
        <w:rPr>
          <w:rFonts w:hint="eastAsia"/>
        </w:rPr>
        <w:t>的规定执行。</w:t>
      </w:r>
    </w:p>
    <w:p w14:paraId="313ACBDF">
      <w:pPr>
        <w:pStyle w:val="105"/>
        <w:spacing w:before="156" w:after="156"/>
      </w:pPr>
      <w:r>
        <w:rPr>
          <w:rFonts w:hint="eastAsia"/>
        </w:rPr>
        <w:t>感官指标</w:t>
      </w:r>
    </w:p>
    <w:p w14:paraId="37ABF6AA">
      <w:pPr>
        <w:pStyle w:val="56"/>
        <w:ind w:firstLine="420"/>
      </w:pPr>
      <w:r>
        <w:rPr>
          <w:rFonts w:hint="eastAsia"/>
        </w:rPr>
        <w:t>按 GB/T 23776 的规定执行。</w:t>
      </w:r>
    </w:p>
    <w:p w14:paraId="5B22B621">
      <w:pPr>
        <w:pStyle w:val="105"/>
        <w:spacing w:before="156" w:after="156"/>
      </w:pPr>
      <w:r>
        <w:rPr>
          <w:rFonts w:hint="eastAsia"/>
        </w:rPr>
        <w:t>理化指标</w:t>
      </w:r>
    </w:p>
    <w:p w14:paraId="5DB1F464">
      <w:pPr>
        <w:pStyle w:val="65"/>
        <w:spacing w:before="156" w:after="156"/>
        <w:ind w:left="0"/>
      </w:pPr>
      <w:r>
        <w:rPr>
          <w:rFonts w:hint="eastAsia"/>
        </w:rPr>
        <w:t>水分</w:t>
      </w:r>
    </w:p>
    <w:p w14:paraId="0EF98975">
      <w:pPr>
        <w:pStyle w:val="56"/>
        <w:ind w:firstLine="420"/>
      </w:pPr>
      <w:r>
        <w:rPr>
          <w:rFonts w:hint="eastAsia"/>
        </w:rPr>
        <w:t>按 GB/T 5009.3 的规定执行。</w:t>
      </w:r>
    </w:p>
    <w:p w14:paraId="161AFAEA">
      <w:pPr>
        <w:pStyle w:val="65"/>
        <w:spacing w:before="156" w:after="156"/>
        <w:ind w:left="0"/>
      </w:pPr>
      <w:r>
        <w:rPr>
          <w:rFonts w:hint="eastAsia"/>
        </w:rPr>
        <w:t>粉末</w:t>
      </w:r>
    </w:p>
    <w:p w14:paraId="24189955">
      <w:pPr>
        <w:pStyle w:val="56"/>
        <w:ind w:firstLine="420"/>
      </w:pPr>
      <w:r>
        <w:rPr>
          <w:rFonts w:hint="eastAsia"/>
        </w:rPr>
        <w:t>按GB/T 83</w:t>
      </w:r>
      <w:r>
        <w:t xml:space="preserve">11 </w:t>
      </w:r>
      <w:r>
        <w:rPr>
          <w:rFonts w:hint="eastAsia"/>
        </w:rPr>
        <w:t>的规定执行。</w:t>
      </w:r>
    </w:p>
    <w:p w14:paraId="5EBF1FCE">
      <w:pPr>
        <w:pStyle w:val="65"/>
        <w:spacing w:before="156" w:after="156"/>
        <w:ind w:left="0"/>
      </w:pPr>
      <w:r>
        <w:rPr>
          <w:rFonts w:hint="eastAsia"/>
        </w:rPr>
        <w:t>总灰分</w:t>
      </w:r>
    </w:p>
    <w:p w14:paraId="6533F814">
      <w:pPr>
        <w:pStyle w:val="56"/>
        <w:ind w:firstLine="420"/>
      </w:pPr>
      <w:r>
        <w:rPr>
          <w:rFonts w:hint="eastAsia"/>
        </w:rPr>
        <w:t>按 GB/T 5009.4 的规定执行。</w:t>
      </w:r>
    </w:p>
    <w:p w14:paraId="15C0F3BB">
      <w:pPr>
        <w:pStyle w:val="65"/>
        <w:spacing w:before="156" w:after="156"/>
        <w:ind w:left="0"/>
      </w:pPr>
      <w:r>
        <w:rPr>
          <w:rFonts w:hint="eastAsia"/>
        </w:rPr>
        <w:t>水浸出物</w:t>
      </w:r>
    </w:p>
    <w:p w14:paraId="265305F5">
      <w:pPr>
        <w:pStyle w:val="56"/>
        <w:ind w:firstLine="420"/>
      </w:pPr>
      <w:r>
        <w:rPr>
          <w:rFonts w:hint="eastAsia"/>
        </w:rPr>
        <w:t>按 GB/T 8305 的规定执行。</w:t>
      </w:r>
    </w:p>
    <w:p w14:paraId="5A18443F">
      <w:pPr>
        <w:pStyle w:val="105"/>
        <w:spacing w:before="156" w:after="156"/>
      </w:pPr>
      <w:r>
        <w:rPr>
          <w:rFonts w:hint="eastAsia"/>
        </w:rPr>
        <w:t>污染物限量指标</w:t>
      </w:r>
    </w:p>
    <w:p w14:paraId="6FFF0039">
      <w:pPr>
        <w:pStyle w:val="56"/>
        <w:ind w:firstLine="420"/>
      </w:pPr>
      <w:r>
        <w:rPr>
          <w:rFonts w:hint="eastAsia"/>
        </w:rPr>
        <w:t>按 GB 2762 规定的检验方法执行。</w:t>
      </w:r>
    </w:p>
    <w:p w14:paraId="24B874A8">
      <w:pPr>
        <w:pStyle w:val="105"/>
        <w:spacing w:before="156" w:after="156"/>
      </w:pPr>
      <w:r>
        <w:rPr>
          <w:rFonts w:hint="eastAsia"/>
        </w:rPr>
        <w:t>农药最大残留限量指标</w:t>
      </w:r>
    </w:p>
    <w:p w14:paraId="536024E0">
      <w:pPr>
        <w:pStyle w:val="56"/>
        <w:ind w:firstLine="420"/>
      </w:pPr>
      <w:r>
        <w:rPr>
          <w:rFonts w:hint="eastAsia"/>
        </w:rPr>
        <w:t>按 GB 2763 规定的检验方法执行。</w:t>
      </w:r>
    </w:p>
    <w:p w14:paraId="2A738908">
      <w:pPr>
        <w:pStyle w:val="105"/>
        <w:spacing w:before="156" w:after="156"/>
      </w:pPr>
      <w:r>
        <w:rPr>
          <w:rFonts w:hint="eastAsia"/>
        </w:rPr>
        <w:t>净含量</w:t>
      </w:r>
    </w:p>
    <w:p w14:paraId="2D5CC1B6">
      <w:pPr>
        <w:pStyle w:val="56"/>
        <w:ind w:firstLine="420"/>
      </w:pPr>
      <w:r>
        <w:rPr>
          <w:rFonts w:hint="eastAsia"/>
        </w:rPr>
        <w:t>按 JJF 1070 的规定执行。</w:t>
      </w:r>
    </w:p>
    <w:p w14:paraId="5A8039BC">
      <w:pPr>
        <w:pStyle w:val="104"/>
        <w:spacing w:before="312" w:after="312"/>
      </w:pPr>
      <w:r>
        <w:rPr>
          <w:rFonts w:hint="eastAsia"/>
        </w:rPr>
        <w:t>检验规则</w:t>
      </w:r>
    </w:p>
    <w:p w14:paraId="0433BA3E">
      <w:pPr>
        <w:pStyle w:val="105"/>
        <w:spacing w:before="156" w:after="156"/>
      </w:pPr>
      <w:r>
        <w:rPr>
          <w:rFonts w:hint="eastAsia"/>
        </w:rPr>
        <w:t>检验批次</w:t>
      </w:r>
    </w:p>
    <w:p w14:paraId="4F7C80F0">
      <w:pPr>
        <w:pStyle w:val="56"/>
        <w:ind w:firstLine="420"/>
      </w:pPr>
      <w:r>
        <w:rPr>
          <w:rFonts w:hint="eastAsia"/>
        </w:rPr>
        <w:t>产品应以批为单位，同批产品的等级和包装单位重量应相同。</w:t>
      </w:r>
    </w:p>
    <w:p w14:paraId="766B5BAA">
      <w:pPr>
        <w:pStyle w:val="105"/>
        <w:spacing w:before="156" w:after="156"/>
      </w:pPr>
      <w:r>
        <w:rPr>
          <w:rFonts w:hint="eastAsia"/>
        </w:rPr>
        <w:t>出厂检验</w:t>
      </w:r>
    </w:p>
    <w:p w14:paraId="0FA878DB">
      <w:pPr>
        <w:pStyle w:val="65"/>
        <w:spacing w:before="156" w:after="156"/>
        <w:ind w:left="0"/>
        <w:rPr>
          <w:rFonts w:ascii="宋体" w:hAnsi="宋体" w:eastAsia="宋体"/>
        </w:rPr>
      </w:pPr>
      <w:r>
        <w:rPr>
          <w:rFonts w:hint="eastAsia" w:ascii="宋体" w:hAnsi="宋体" w:eastAsia="宋体"/>
        </w:rPr>
        <w:t>出厂检验项目为感官指标、水分、粉末、净含量和包装标签。</w:t>
      </w:r>
    </w:p>
    <w:p w14:paraId="4D3112D8">
      <w:pPr>
        <w:pStyle w:val="65"/>
        <w:spacing w:before="156" w:after="156"/>
        <w:ind w:left="0"/>
        <w:rPr>
          <w:rFonts w:ascii="宋体" w:hAnsi="宋体" w:eastAsia="宋体"/>
        </w:rPr>
      </w:pPr>
      <w:r>
        <w:rPr>
          <w:rFonts w:hint="eastAsia" w:ascii="宋体" w:hAnsi="宋体" w:eastAsia="宋体"/>
        </w:rPr>
        <w:t>每批产品应做出厂检验，经检验合格，签发产品质量合格证后，方可出厂。</w:t>
      </w:r>
    </w:p>
    <w:p w14:paraId="6EACC587">
      <w:pPr>
        <w:pStyle w:val="105"/>
        <w:spacing w:before="156" w:after="156"/>
      </w:pPr>
      <w:r>
        <w:rPr>
          <w:rFonts w:hint="eastAsia"/>
        </w:rPr>
        <w:t>型式检验</w:t>
      </w:r>
    </w:p>
    <w:p w14:paraId="7522BCCF">
      <w:pPr>
        <w:pStyle w:val="65"/>
        <w:spacing w:before="156" w:after="156"/>
        <w:ind w:left="0"/>
        <w:rPr>
          <w:rFonts w:ascii="宋体" w:hAnsi="宋体" w:eastAsia="宋体"/>
        </w:rPr>
      </w:pPr>
      <w:r>
        <w:rPr>
          <w:rFonts w:hint="eastAsia" w:ascii="宋体" w:hAnsi="宋体" w:eastAsia="宋体"/>
        </w:rPr>
        <w:t>型式检验为全项目检验。</w:t>
      </w:r>
    </w:p>
    <w:p w14:paraId="50B23946">
      <w:pPr>
        <w:pStyle w:val="65"/>
        <w:spacing w:before="156" w:after="156"/>
        <w:ind w:left="0"/>
        <w:rPr>
          <w:rFonts w:ascii="宋体" w:hAnsi="宋体" w:eastAsia="宋体"/>
        </w:rPr>
      </w:pPr>
      <w:r>
        <w:rPr>
          <w:rFonts w:hint="eastAsia" w:ascii="宋体" w:hAnsi="宋体" w:eastAsia="宋体"/>
        </w:rPr>
        <w:t>型式检验在下列情况之一时进行：首次批量生产前；原料、工艺、机具有较大改变，可能影响产品质量时；质量监督机构提出型式检验要求时。</w:t>
      </w:r>
    </w:p>
    <w:p w14:paraId="604C17CE">
      <w:pPr>
        <w:pStyle w:val="105"/>
        <w:spacing w:before="156" w:after="156"/>
      </w:pPr>
      <w:r>
        <w:rPr>
          <w:rFonts w:hint="eastAsia"/>
        </w:rPr>
        <w:t>判定规则</w:t>
      </w:r>
    </w:p>
    <w:p w14:paraId="623A30D2">
      <w:pPr>
        <w:pStyle w:val="65"/>
        <w:spacing w:before="156" w:after="156"/>
        <w:ind w:left="0"/>
        <w:rPr>
          <w:rFonts w:ascii="宋体" w:hAnsi="宋体" w:eastAsia="宋体"/>
        </w:rPr>
      </w:pPr>
      <w:r>
        <w:rPr>
          <w:rFonts w:hint="eastAsia" w:ascii="宋体" w:hAnsi="宋体" w:eastAsia="宋体"/>
        </w:rPr>
        <w:t>按第</w:t>
      </w:r>
      <w:r>
        <w:rPr>
          <w:rFonts w:ascii="宋体" w:hAnsi="宋体" w:eastAsia="宋体"/>
        </w:rPr>
        <w:t>6</w:t>
      </w:r>
      <w:r>
        <w:rPr>
          <w:rFonts w:hint="eastAsia" w:ascii="宋体" w:hAnsi="宋体" w:eastAsia="宋体"/>
        </w:rPr>
        <w:t>章要求，任一项不符合规定的产品均判为不合格。</w:t>
      </w:r>
    </w:p>
    <w:p w14:paraId="6D6FD336">
      <w:pPr>
        <w:pStyle w:val="65"/>
        <w:spacing w:before="156" w:after="156"/>
        <w:ind w:left="0"/>
        <w:rPr>
          <w:rFonts w:ascii="宋体" w:hAnsi="宋体" w:eastAsia="宋体"/>
        </w:rPr>
      </w:pPr>
      <w:r>
        <w:rPr>
          <w:rFonts w:hint="eastAsia" w:ascii="宋体" w:hAnsi="宋体" w:eastAsia="宋体"/>
        </w:rPr>
        <w:t>对检验结果有争议的，应对留存样进行复检，或在同批产品中重新按 GB/T 8302 规定加倍抽样，重新抽样应由争议双方会同进行，对有争议项目进行复检，以复检结果为准。</w:t>
      </w:r>
    </w:p>
    <w:p w14:paraId="7606A02C">
      <w:pPr>
        <w:pStyle w:val="104"/>
        <w:spacing w:before="312" w:after="312"/>
      </w:pPr>
      <w:r>
        <w:rPr>
          <w:rFonts w:hint="eastAsia"/>
        </w:rPr>
        <w:t>标志、标签、包装、运输、贮存</w:t>
      </w:r>
    </w:p>
    <w:p w14:paraId="773BA501">
      <w:pPr>
        <w:pStyle w:val="105"/>
        <w:spacing w:before="156" w:after="156"/>
      </w:pPr>
      <w:r>
        <w:rPr>
          <w:rFonts w:hint="eastAsia"/>
        </w:rPr>
        <w:t xml:space="preserve">标志 </w:t>
      </w:r>
    </w:p>
    <w:p w14:paraId="4635FC4B">
      <w:pPr>
        <w:pStyle w:val="65"/>
        <w:spacing w:before="156" w:after="156"/>
        <w:ind w:left="0"/>
        <w:rPr>
          <w:rFonts w:ascii="宋体" w:hAnsi="宋体" w:eastAsia="宋体"/>
        </w:rPr>
      </w:pPr>
      <w:r>
        <w:rPr>
          <w:rFonts w:hint="eastAsia" w:ascii="宋体" w:hAnsi="宋体" w:eastAsia="宋体"/>
        </w:rPr>
        <w:t xml:space="preserve">获准使用地理标志产品专用标志的生产者，应按地理标志产品专用标志管理办法的规定在其产品包装上使用专用标志。 </w:t>
      </w:r>
    </w:p>
    <w:p w14:paraId="201C9680">
      <w:pPr>
        <w:pStyle w:val="65"/>
        <w:spacing w:before="156" w:after="156"/>
        <w:ind w:left="0"/>
        <w:rPr>
          <w:rFonts w:ascii="宋体" w:hAnsi="宋体" w:eastAsia="宋体"/>
        </w:rPr>
      </w:pPr>
      <w:r>
        <w:rPr>
          <w:rFonts w:hint="eastAsia" w:ascii="宋体" w:hAnsi="宋体" w:eastAsia="宋体"/>
        </w:rPr>
        <w:t>产品包装储运图示标志应符合 GB/T 191 的规定。</w:t>
      </w:r>
    </w:p>
    <w:p w14:paraId="03C66A65">
      <w:pPr>
        <w:pStyle w:val="105"/>
        <w:spacing w:before="156" w:after="156"/>
        <w:rPr>
          <w:color w:val="000000"/>
          <w14:scene3d>
            <w14:lightRig w14:rig="threePt" w14:dir="t">
              <w14:rot w14:lat="0" w14:lon="0" w14:rev="0"/>
            </w14:lightRig>
          </w14:scene3d>
        </w:rPr>
      </w:pPr>
      <w:r>
        <w:rPr>
          <w:rFonts w:hint="eastAsia"/>
          <w:color w:val="000000"/>
          <w14:scene3d>
            <w14:lightRig w14:rig="threePt" w14:dir="t">
              <w14:rot w14:lat="0" w14:lon="0" w14:rev="0"/>
            </w14:lightRig>
          </w14:scene3d>
        </w:rPr>
        <w:t xml:space="preserve">标签 </w:t>
      </w:r>
    </w:p>
    <w:p w14:paraId="6DEC5983">
      <w:pPr>
        <w:pStyle w:val="65"/>
        <w:numPr>
          <w:ilvl w:val="0"/>
          <w:numId w:val="0"/>
        </w:numPr>
        <w:spacing w:before="156" w:after="156"/>
        <w:ind w:firstLine="424" w:firstLineChars="202"/>
        <w:rPr>
          <w:rFonts w:ascii="宋体" w:hAnsi="宋体" w:eastAsia="宋体"/>
        </w:rPr>
      </w:pPr>
      <w:r>
        <w:rPr>
          <w:rFonts w:hint="eastAsia" w:ascii="宋体" w:hAnsi="宋体" w:eastAsia="宋体"/>
        </w:rPr>
        <w:t>应符合 GB 7718的规定。</w:t>
      </w:r>
    </w:p>
    <w:p w14:paraId="1F32F8F8">
      <w:pPr>
        <w:pStyle w:val="105"/>
        <w:spacing w:before="156" w:after="156"/>
      </w:pPr>
      <w:r>
        <w:rPr>
          <w:rFonts w:hint="eastAsia"/>
        </w:rPr>
        <w:t xml:space="preserve">包装 </w:t>
      </w:r>
    </w:p>
    <w:p w14:paraId="0185F7AC">
      <w:pPr>
        <w:pStyle w:val="56"/>
        <w:ind w:firstLine="420"/>
      </w:pPr>
      <w:r>
        <w:rPr>
          <w:rFonts w:hint="eastAsia"/>
        </w:rPr>
        <w:t>应符合 GH/T 1070、GB 23350</w:t>
      </w:r>
      <w:r>
        <w:t xml:space="preserve"> </w:t>
      </w:r>
      <w:r>
        <w:rPr>
          <w:rFonts w:hint="eastAsia"/>
        </w:rPr>
        <w:t>的规定。</w:t>
      </w:r>
    </w:p>
    <w:p w14:paraId="0B7B3018">
      <w:pPr>
        <w:pStyle w:val="105"/>
        <w:spacing w:before="156" w:after="156"/>
      </w:pPr>
      <w:r>
        <w:rPr>
          <w:rFonts w:hint="eastAsia"/>
        </w:rPr>
        <w:t xml:space="preserve">运输 </w:t>
      </w:r>
    </w:p>
    <w:p w14:paraId="0FF0BB73">
      <w:pPr>
        <w:pStyle w:val="65"/>
        <w:numPr>
          <w:ilvl w:val="0"/>
          <w:numId w:val="0"/>
        </w:numPr>
        <w:spacing w:before="156" w:after="156"/>
        <w:ind w:firstLine="424" w:firstLineChars="202"/>
        <w:rPr>
          <w:rFonts w:ascii="宋体" w:hAnsi="宋体" w:eastAsia="宋体"/>
        </w:rPr>
      </w:pPr>
      <w:r>
        <w:rPr>
          <w:rFonts w:hint="eastAsia" w:ascii="宋体" w:hAnsi="宋体" w:eastAsia="宋体"/>
        </w:rPr>
        <w:t>运输工具应清洁、干燥、无异味、无污染；运输时应防潮、防雨、防曝晒；装卸时轻装轻卸，防撞击，防重压；严禁与有毒、有异气味、易污染的物品混装混运。</w:t>
      </w:r>
    </w:p>
    <w:p w14:paraId="2153E8A2">
      <w:pPr>
        <w:pStyle w:val="105"/>
        <w:spacing w:before="156" w:after="156"/>
      </w:pPr>
      <w:r>
        <w:rPr>
          <w:rFonts w:hint="eastAsia"/>
        </w:rPr>
        <w:t xml:space="preserve">贮存 </w:t>
      </w:r>
    </w:p>
    <w:p w14:paraId="2B105360">
      <w:pPr>
        <w:pStyle w:val="65"/>
        <w:numPr>
          <w:ilvl w:val="0"/>
          <w:numId w:val="0"/>
        </w:numPr>
        <w:spacing w:before="156" w:after="156"/>
        <w:ind w:firstLine="424" w:firstLineChars="202"/>
        <w:rPr>
          <w:rFonts w:ascii="宋体" w:hAnsi="宋体" w:eastAsia="宋体"/>
        </w:rPr>
      </w:pPr>
      <w:r>
        <w:rPr>
          <w:rFonts w:hint="eastAsia" w:ascii="宋体" w:hAnsi="宋体" w:eastAsia="宋体"/>
        </w:rPr>
        <w:t>应符合GB/T 30375的规定。</w:t>
      </w:r>
    </w:p>
    <w:p w14:paraId="150EDE05">
      <w:pPr>
        <w:pStyle w:val="56"/>
        <w:ind w:firstLine="420"/>
        <w:sectPr>
          <w:pgSz w:w="11906" w:h="16838"/>
          <w:pgMar w:top="1928" w:right="1134" w:bottom="1134" w:left="1134" w:header="1418" w:footer="1134" w:gutter="284"/>
          <w:pgNumType w:start="1"/>
          <w:cols w:space="425" w:num="1"/>
          <w:formProt w:val="0"/>
          <w:docGrid w:type="lines" w:linePitch="312" w:charSpace="0"/>
        </w:sectPr>
      </w:pPr>
    </w:p>
    <w:p w14:paraId="46CFBEF4">
      <w:pPr>
        <w:pStyle w:val="198"/>
        <w:rPr>
          <w:vanish w:val="0"/>
        </w:rPr>
      </w:pPr>
    </w:p>
    <w:p w14:paraId="2ADD6D5F">
      <w:pPr>
        <w:pStyle w:val="199"/>
        <w:rPr>
          <w:vanish w:val="0"/>
        </w:rPr>
      </w:pPr>
    </w:p>
    <w:bookmarkEnd w:id="22"/>
    <w:p w14:paraId="37858E34">
      <w:pPr>
        <w:rPr>
          <w:vanish/>
        </w:rPr>
      </w:pPr>
      <w:bookmarkStart w:id="44" w:name="BookMark5"/>
    </w:p>
    <w:p w14:paraId="4D650694">
      <w:pPr>
        <w:pStyle w:val="199"/>
        <w:rPr>
          <w:vanish w:val="0"/>
        </w:rPr>
      </w:pPr>
    </w:p>
    <w:p w14:paraId="7F7D1ABD">
      <w:pPr>
        <w:pStyle w:val="76"/>
        <w:spacing w:after="156"/>
      </w:pPr>
      <w:r>
        <w:br w:type="textWrapping"/>
      </w:r>
      <w:r>
        <w:rPr>
          <w:rFonts w:hint="eastAsia"/>
        </w:rPr>
        <w:t>（规范性）</w:t>
      </w:r>
      <w:r>
        <w:br w:type="textWrapping"/>
      </w:r>
      <w:r>
        <w:rPr>
          <w:rFonts w:hint="eastAsia"/>
        </w:rPr>
        <w:t>地理标准产品鸦山瑞草魁保护范围</w:t>
      </w:r>
    </w:p>
    <w:p w14:paraId="0A8320B8">
      <w:pPr>
        <w:pStyle w:val="56"/>
        <w:ind w:firstLine="420"/>
      </w:pPr>
      <w:r>
        <w:rPr>
          <w:rFonts w:hint="eastAsia"/>
        </w:rPr>
        <w:t>地理标志产品鸦山瑞草魁的划定的区域保护范围见图 A.1。</w:t>
      </w:r>
    </w:p>
    <w:p w14:paraId="748024FF">
      <w:pPr>
        <w:pStyle w:val="56"/>
        <w:ind w:firstLine="420"/>
        <w:jc w:val="center"/>
        <w:rPr>
          <w:rFonts w:hint="eastAsia" w:eastAsia="宋体"/>
          <w:lang w:eastAsia="zh-CN"/>
        </w:rPr>
      </w:pPr>
      <w:r>
        <w:rPr>
          <w:rFonts w:hint="eastAsia" w:eastAsia="宋体"/>
          <w:lang w:eastAsia="zh-CN"/>
        </w:rPr>
        <w:drawing>
          <wp:inline distT="0" distB="0" distL="114300" distR="114300">
            <wp:extent cx="3729355" cy="5276215"/>
            <wp:effectExtent l="0" t="0" r="4445" b="12065"/>
            <wp:docPr id="1" name="图片 1" descr="149f010fc70a05bee6f18d8f2d02e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49f010fc70a05bee6f18d8f2d02e42"/>
                    <pic:cNvPicPr>
                      <a:picLocks noChangeAspect="1"/>
                    </pic:cNvPicPr>
                  </pic:nvPicPr>
                  <pic:blipFill>
                    <a:blip r:embed="rId16"/>
                    <a:stretch>
                      <a:fillRect/>
                    </a:stretch>
                  </pic:blipFill>
                  <pic:spPr>
                    <a:xfrm>
                      <a:off x="0" y="0"/>
                      <a:ext cx="3729355" cy="5276215"/>
                    </a:xfrm>
                    <a:prstGeom prst="rect">
                      <a:avLst/>
                    </a:prstGeom>
                  </pic:spPr>
                </pic:pic>
              </a:graphicData>
            </a:graphic>
          </wp:inline>
        </w:drawing>
      </w:r>
    </w:p>
    <w:p w14:paraId="39E8C76D">
      <w:pPr>
        <w:pStyle w:val="83"/>
        <w:spacing w:before="156" w:after="156"/>
      </w:pPr>
      <w:r>
        <w:rPr>
          <w:rFonts w:hint="eastAsia"/>
        </w:rPr>
        <w:t>地理标志产品鸦山瑞草魁保护范围图</w:t>
      </w:r>
    </w:p>
    <w:p w14:paraId="49229C5D">
      <w:pPr>
        <w:pStyle w:val="56"/>
        <w:ind w:firstLine="420"/>
      </w:pPr>
    </w:p>
    <w:p w14:paraId="756F338C">
      <w:pPr>
        <w:pStyle w:val="56"/>
        <w:ind w:firstLine="420"/>
      </w:pPr>
    </w:p>
    <w:p w14:paraId="08668F46">
      <w:pPr>
        <w:pStyle w:val="56"/>
        <w:ind w:firstLine="420"/>
      </w:pPr>
      <w:bookmarkStart w:id="46" w:name="_GoBack"/>
      <w:bookmarkEnd w:id="46"/>
    </w:p>
    <w:bookmarkEnd w:id="44"/>
    <w:p w14:paraId="19AD2694">
      <w:pPr>
        <w:pStyle w:val="101"/>
        <w:numPr>
          <w:ilvl w:val="0"/>
          <w:numId w:val="0"/>
        </w:numPr>
        <w:ind w:left="539"/>
        <w:jc w:val="center"/>
      </w:pPr>
      <w:bookmarkStart w:id="45" w:name="BookMark8"/>
      <w:r>
        <w:drawing>
          <wp:inline distT="0" distB="0" distL="0" distR="0">
            <wp:extent cx="1485900" cy="317500"/>
            <wp:effectExtent l="0" t="0" r="0" b="6350"/>
            <wp:docPr id="2" name="图片 2"/>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17">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5"/>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CB9D0">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E9D7E1">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5F15E2">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0CC074">
    <w:pPr>
      <w:pStyle w:val="52"/>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22BCB0">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6FCD33">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EFAB41">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FB3A4C">
    <w:pPr>
      <w:pStyle w:val="61"/>
    </w:pPr>
    <w:r>
      <w:fldChar w:fldCharType="begin"/>
    </w:r>
    <w:r>
      <w:instrText xml:space="preserve"> STYLEREF  标准文件_文件编号  \* MERGEFORMAT </w:instrText>
    </w:r>
    <w:r>
      <w:fldChar w:fldCharType="separate"/>
    </w:r>
    <w:r>
      <w:t>DB 34/T 1325—2024</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9F13B7">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34/T 1325—2024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2411"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3545"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color w:val="auto"/>
        <w:spacing w:val="100"/>
        <w:shd w:val="pct15" w:color="auto" w:fill="FFFFFF"/>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426" w:firstLine="0"/>
      </w:pPr>
      <w:rPr>
        <w:rFonts w:hint="eastAsia" w:ascii="黑体" w:eastAsia="黑体"/>
        <w:b w:val="0"/>
        <w:i w:val="0"/>
        <w:sz w:val="21"/>
      </w:rPr>
    </w:lvl>
    <w:lvl w:ilvl="4" w:tentative="0">
      <w:start w:val="1"/>
      <w:numFmt w:val="decimal"/>
      <w:pStyle w:val="94"/>
      <w:suff w:val="nothing"/>
      <w:lvlText w:val="%1%2.%3.%4.%5　"/>
      <w:lvlJc w:val="left"/>
      <w:pPr>
        <w:ind w:left="71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attachedTemplate r:id="rId1"/>
  <w:documentProtection w:edit="forms" w:enforcement="1" w:cryptProviderType="rsaAES" w:cryptAlgorithmClass="hash" w:cryptAlgorithmType="typeAny" w:cryptAlgorithmSid="14" w:cryptSpinCount="100000" w:hash="P9+4PuODChVnRjExHcJxF7FQHdV7Or3NeYP5JqgPJYbLrpWm2zxKQlVWp9KEY9EJSPmQxWoSupJtMVYbnpvdGw==" w:salt="X+xWSJ/MOpV+ZKXfqH337w=="/>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JjMzA4MzliOGM3ZjY5MjU2NGM4Y2M4M2MyNTMyZjYifQ=="/>
  </w:docVars>
  <w:rsids>
    <w:rsidRoot w:val="008F167D"/>
    <w:rsid w:val="0000040A"/>
    <w:rsid w:val="00000A94"/>
    <w:rsid w:val="00001972"/>
    <w:rsid w:val="00001D9A"/>
    <w:rsid w:val="00007367"/>
    <w:rsid w:val="00007B3A"/>
    <w:rsid w:val="000107E0"/>
    <w:rsid w:val="00011FDE"/>
    <w:rsid w:val="00012FFD"/>
    <w:rsid w:val="00014162"/>
    <w:rsid w:val="00014340"/>
    <w:rsid w:val="00016A9C"/>
    <w:rsid w:val="00022184"/>
    <w:rsid w:val="00022762"/>
    <w:rsid w:val="000238E0"/>
    <w:rsid w:val="000249DB"/>
    <w:rsid w:val="00024A94"/>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B6C"/>
    <w:rsid w:val="000B3CDA"/>
    <w:rsid w:val="000B6A0B"/>
    <w:rsid w:val="000C0F6C"/>
    <w:rsid w:val="000C11DB"/>
    <w:rsid w:val="000C1492"/>
    <w:rsid w:val="000C2FBD"/>
    <w:rsid w:val="000C33B9"/>
    <w:rsid w:val="000C4B41"/>
    <w:rsid w:val="000C57D6"/>
    <w:rsid w:val="000C6362"/>
    <w:rsid w:val="000C7666"/>
    <w:rsid w:val="000D0A9C"/>
    <w:rsid w:val="000D1795"/>
    <w:rsid w:val="000D329A"/>
    <w:rsid w:val="000D4B9C"/>
    <w:rsid w:val="000D4EB6"/>
    <w:rsid w:val="000D753B"/>
    <w:rsid w:val="000E377F"/>
    <w:rsid w:val="000E4C9E"/>
    <w:rsid w:val="000E6FD7"/>
    <w:rsid w:val="000F06E1"/>
    <w:rsid w:val="000F0E3C"/>
    <w:rsid w:val="000F19D5"/>
    <w:rsid w:val="000F4AEA"/>
    <w:rsid w:val="000F633F"/>
    <w:rsid w:val="000F67E9"/>
    <w:rsid w:val="000F7A6B"/>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2E9A"/>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4B9"/>
    <w:rsid w:val="00173DDC"/>
    <w:rsid w:val="00173FB1"/>
    <w:rsid w:val="001763F0"/>
    <w:rsid w:val="00176DFD"/>
    <w:rsid w:val="001852C9"/>
    <w:rsid w:val="00190087"/>
    <w:rsid w:val="001905DD"/>
    <w:rsid w:val="001913C4"/>
    <w:rsid w:val="0019348F"/>
    <w:rsid w:val="00193A07"/>
    <w:rsid w:val="00194C95"/>
    <w:rsid w:val="00195C34"/>
    <w:rsid w:val="00195E72"/>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2E5B"/>
    <w:rsid w:val="001F4816"/>
    <w:rsid w:val="001F4EE9"/>
    <w:rsid w:val="001F69B4"/>
    <w:rsid w:val="001F77C7"/>
    <w:rsid w:val="00200183"/>
    <w:rsid w:val="00200333"/>
    <w:rsid w:val="0020107D"/>
    <w:rsid w:val="00202AA4"/>
    <w:rsid w:val="002031F7"/>
    <w:rsid w:val="002040E6"/>
    <w:rsid w:val="0020527B"/>
    <w:rsid w:val="00205F2C"/>
    <w:rsid w:val="00210B15"/>
    <w:rsid w:val="00213C2F"/>
    <w:rsid w:val="002142EA"/>
    <w:rsid w:val="0021713B"/>
    <w:rsid w:val="002204BB"/>
    <w:rsid w:val="002213B0"/>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6C"/>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479"/>
    <w:rsid w:val="00294D34"/>
    <w:rsid w:val="00294E3B"/>
    <w:rsid w:val="00296193"/>
    <w:rsid w:val="00296C66"/>
    <w:rsid w:val="00296EBE"/>
    <w:rsid w:val="002974E3"/>
    <w:rsid w:val="002A084B"/>
    <w:rsid w:val="002A091A"/>
    <w:rsid w:val="002A1260"/>
    <w:rsid w:val="002A1589"/>
    <w:rsid w:val="002A1608"/>
    <w:rsid w:val="002A19A0"/>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76BE7"/>
    <w:rsid w:val="00381815"/>
    <w:rsid w:val="003819AF"/>
    <w:rsid w:val="003820E9"/>
    <w:rsid w:val="003824FD"/>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97F93"/>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38F6"/>
    <w:rsid w:val="00404869"/>
    <w:rsid w:val="00405884"/>
    <w:rsid w:val="00407D39"/>
    <w:rsid w:val="0041477A"/>
    <w:rsid w:val="0041571D"/>
    <w:rsid w:val="004167A3"/>
    <w:rsid w:val="00423E77"/>
    <w:rsid w:val="00432DAA"/>
    <w:rsid w:val="00434305"/>
    <w:rsid w:val="00435DF7"/>
    <w:rsid w:val="004374A8"/>
    <w:rsid w:val="0044083F"/>
    <w:rsid w:val="00441AE7"/>
    <w:rsid w:val="00445574"/>
    <w:rsid w:val="004467FB"/>
    <w:rsid w:val="00452D6B"/>
    <w:rsid w:val="00454484"/>
    <w:rsid w:val="0045517B"/>
    <w:rsid w:val="00463B77"/>
    <w:rsid w:val="00463C7B"/>
    <w:rsid w:val="004644A6"/>
    <w:rsid w:val="004659BD"/>
    <w:rsid w:val="00470775"/>
    <w:rsid w:val="00473E70"/>
    <w:rsid w:val="004746B1"/>
    <w:rsid w:val="0047583F"/>
    <w:rsid w:val="00475DE8"/>
    <w:rsid w:val="00481C44"/>
    <w:rsid w:val="00484936"/>
    <w:rsid w:val="00484DAB"/>
    <w:rsid w:val="00485C89"/>
    <w:rsid w:val="00485DEF"/>
    <w:rsid w:val="00486BE3"/>
    <w:rsid w:val="004905E4"/>
    <w:rsid w:val="00490A89"/>
    <w:rsid w:val="00490AB4"/>
    <w:rsid w:val="00492F02"/>
    <w:rsid w:val="004939AE"/>
    <w:rsid w:val="004A0A25"/>
    <w:rsid w:val="004A12DF"/>
    <w:rsid w:val="004A17E6"/>
    <w:rsid w:val="004A1BA8"/>
    <w:rsid w:val="004A4B57"/>
    <w:rsid w:val="004A63FA"/>
    <w:rsid w:val="004B0254"/>
    <w:rsid w:val="004B0272"/>
    <w:rsid w:val="004B2701"/>
    <w:rsid w:val="004B2E1B"/>
    <w:rsid w:val="004B3AA8"/>
    <w:rsid w:val="004B3E93"/>
    <w:rsid w:val="004C1FBC"/>
    <w:rsid w:val="004C3F1D"/>
    <w:rsid w:val="004C458D"/>
    <w:rsid w:val="004C624B"/>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49D"/>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026"/>
    <w:rsid w:val="00534804"/>
    <w:rsid w:val="00534BDF"/>
    <w:rsid w:val="005354EA"/>
    <w:rsid w:val="0053585F"/>
    <w:rsid w:val="00535EC4"/>
    <w:rsid w:val="00535ED9"/>
    <w:rsid w:val="0053692B"/>
    <w:rsid w:val="005372E1"/>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2C"/>
    <w:rsid w:val="005836A8"/>
    <w:rsid w:val="0058409C"/>
    <w:rsid w:val="00584262"/>
    <w:rsid w:val="00584FD1"/>
    <w:rsid w:val="00586630"/>
    <w:rsid w:val="00587ADD"/>
    <w:rsid w:val="005907A7"/>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16CA"/>
    <w:rsid w:val="005C16F0"/>
    <w:rsid w:val="005C29B8"/>
    <w:rsid w:val="005C5F21"/>
    <w:rsid w:val="005C7156"/>
    <w:rsid w:val="005D0C75"/>
    <w:rsid w:val="005D4171"/>
    <w:rsid w:val="005D6A95"/>
    <w:rsid w:val="005D6B2C"/>
    <w:rsid w:val="005D6D9C"/>
    <w:rsid w:val="005E2335"/>
    <w:rsid w:val="005E34CA"/>
    <w:rsid w:val="005E3C18"/>
    <w:rsid w:val="005E6812"/>
    <w:rsid w:val="005E7677"/>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0C62"/>
    <w:rsid w:val="00651ACB"/>
    <w:rsid w:val="00651C47"/>
    <w:rsid w:val="00652342"/>
    <w:rsid w:val="00652AB2"/>
    <w:rsid w:val="00652E88"/>
    <w:rsid w:val="00653123"/>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1DB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4E40"/>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5799C"/>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970A3"/>
    <w:rsid w:val="007A0521"/>
    <w:rsid w:val="007A0860"/>
    <w:rsid w:val="007A2E12"/>
    <w:rsid w:val="007A3475"/>
    <w:rsid w:val="007A41C8"/>
    <w:rsid w:val="007A54CE"/>
    <w:rsid w:val="007A6379"/>
    <w:rsid w:val="007A6FD9"/>
    <w:rsid w:val="007A7FFA"/>
    <w:rsid w:val="007B04EB"/>
    <w:rsid w:val="007B0D4F"/>
    <w:rsid w:val="007B5A3D"/>
    <w:rsid w:val="007B5B95"/>
    <w:rsid w:val="007B63C7"/>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55D2"/>
    <w:rsid w:val="007F56A0"/>
    <w:rsid w:val="007F75CE"/>
    <w:rsid w:val="008013A4"/>
    <w:rsid w:val="008027CE"/>
    <w:rsid w:val="00802F42"/>
    <w:rsid w:val="00804383"/>
    <w:rsid w:val="00804BB7"/>
    <w:rsid w:val="00804D41"/>
    <w:rsid w:val="008066F3"/>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77EDE"/>
    <w:rsid w:val="00883F93"/>
    <w:rsid w:val="00884DB3"/>
    <w:rsid w:val="00885A9D"/>
    <w:rsid w:val="008864F6"/>
    <w:rsid w:val="0089049D"/>
    <w:rsid w:val="00890A85"/>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2EEB"/>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67AF"/>
    <w:rsid w:val="008D7B54"/>
    <w:rsid w:val="008E0C9D"/>
    <w:rsid w:val="008E1648"/>
    <w:rsid w:val="008E1B3E"/>
    <w:rsid w:val="008E2319"/>
    <w:rsid w:val="008E4BB6"/>
    <w:rsid w:val="008E5518"/>
    <w:rsid w:val="008E6A84"/>
    <w:rsid w:val="008F0CDC"/>
    <w:rsid w:val="008F167D"/>
    <w:rsid w:val="008F17A3"/>
    <w:rsid w:val="008F1ED3"/>
    <w:rsid w:val="008F23A5"/>
    <w:rsid w:val="008F4C29"/>
    <w:rsid w:val="008F70BD"/>
    <w:rsid w:val="008F788F"/>
    <w:rsid w:val="008F7EA2"/>
    <w:rsid w:val="00902722"/>
    <w:rsid w:val="009027BC"/>
    <w:rsid w:val="00902FF1"/>
    <w:rsid w:val="009057E7"/>
    <w:rsid w:val="009062E6"/>
    <w:rsid w:val="00911BE5"/>
    <w:rsid w:val="00913CA9"/>
    <w:rsid w:val="009145AE"/>
    <w:rsid w:val="009146CE"/>
    <w:rsid w:val="00914CA7"/>
    <w:rsid w:val="00915C3E"/>
    <w:rsid w:val="009161A8"/>
    <w:rsid w:val="00922535"/>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1FCC"/>
    <w:rsid w:val="0098364B"/>
    <w:rsid w:val="009911AF"/>
    <w:rsid w:val="00991875"/>
    <w:rsid w:val="00991F92"/>
    <w:rsid w:val="00992985"/>
    <w:rsid w:val="00993889"/>
    <w:rsid w:val="0099551B"/>
    <w:rsid w:val="00997BF1"/>
    <w:rsid w:val="009A071C"/>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C7777"/>
    <w:rsid w:val="009D112C"/>
    <w:rsid w:val="009D47FA"/>
    <w:rsid w:val="009D4C5B"/>
    <w:rsid w:val="009D50D2"/>
    <w:rsid w:val="009D6BCA"/>
    <w:rsid w:val="009E0F62"/>
    <w:rsid w:val="009E4A58"/>
    <w:rsid w:val="009E5A2D"/>
    <w:rsid w:val="009E5AB2"/>
    <w:rsid w:val="009E6219"/>
    <w:rsid w:val="009F03B3"/>
    <w:rsid w:val="00A0096C"/>
    <w:rsid w:val="00A01757"/>
    <w:rsid w:val="00A01779"/>
    <w:rsid w:val="00A028C0"/>
    <w:rsid w:val="00A02BAE"/>
    <w:rsid w:val="00A06012"/>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0843"/>
    <w:rsid w:val="00AA1E45"/>
    <w:rsid w:val="00AA4286"/>
    <w:rsid w:val="00AA456B"/>
    <w:rsid w:val="00AA57F5"/>
    <w:rsid w:val="00AA672E"/>
    <w:rsid w:val="00AA6EC9"/>
    <w:rsid w:val="00AB136F"/>
    <w:rsid w:val="00AB223D"/>
    <w:rsid w:val="00AB41D5"/>
    <w:rsid w:val="00AB6309"/>
    <w:rsid w:val="00AB6C5F"/>
    <w:rsid w:val="00AB7129"/>
    <w:rsid w:val="00AC27A6"/>
    <w:rsid w:val="00AC30F7"/>
    <w:rsid w:val="00AC3A5A"/>
    <w:rsid w:val="00AC4D95"/>
    <w:rsid w:val="00AC5DF4"/>
    <w:rsid w:val="00AD0AEF"/>
    <w:rsid w:val="00AD11B7"/>
    <w:rsid w:val="00AD17C8"/>
    <w:rsid w:val="00AD1A94"/>
    <w:rsid w:val="00AD1C05"/>
    <w:rsid w:val="00AD4126"/>
    <w:rsid w:val="00AD421C"/>
    <w:rsid w:val="00AD44FA"/>
    <w:rsid w:val="00AE070A"/>
    <w:rsid w:val="00AE101C"/>
    <w:rsid w:val="00AE37E5"/>
    <w:rsid w:val="00AE5EB4"/>
    <w:rsid w:val="00AE7AB9"/>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0A4E"/>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0205"/>
    <w:rsid w:val="00BB203B"/>
    <w:rsid w:val="00BB5F8F"/>
    <w:rsid w:val="00BB657A"/>
    <w:rsid w:val="00BC1A4E"/>
    <w:rsid w:val="00BC4790"/>
    <w:rsid w:val="00BC5DC7"/>
    <w:rsid w:val="00BC6B8B"/>
    <w:rsid w:val="00BC73D8"/>
    <w:rsid w:val="00BD52D7"/>
    <w:rsid w:val="00BD5AD2"/>
    <w:rsid w:val="00BD5BE8"/>
    <w:rsid w:val="00BE22F3"/>
    <w:rsid w:val="00BE5B52"/>
    <w:rsid w:val="00BE7B8D"/>
    <w:rsid w:val="00BF0993"/>
    <w:rsid w:val="00BF10A9"/>
    <w:rsid w:val="00BF1703"/>
    <w:rsid w:val="00BF2022"/>
    <w:rsid w:val="00BF231C"/>
    <w:rsid w:val="00BF26D7"/>
    <w:rsid w:val="00BF51E5"/>
    <w:rsid w:val="00BF6018"/>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1E9"/>
    <w:rsid w:val="00C905FC"/>
    <w:rsid w:val="00C92D03"/>
    <w:rsid w:val="00C9319C"/>
    <w:rsid w:val="00C9435D"/>
    <w:rsid w:val="00C94DF2"/>
    <w:rsid w:val="00C96741"/>
    <w:rsid w:val="00CA2D1B"/>
    <w:rsid w:val="00CA375D"/>
    <w:rsid w:val="00CA43E8"/>
    <w:rsid w:val="00CA5DB0"/>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D58D4"/>
    <w:rsid w:val="00CE0C4F"/>
    <w:rsid w:val="00CE30EA"/>
    <w:rsid w:val="00CE4B3B"/>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577B3"/>
    <w:rsid w:val="00D66846"/>
    <w:rsid w:val="00D675FB"/>
    <w:rsid w:val="00D71F25"/>
    <w:rsid w:val="00D72A9C"/>
    <w:rsid w:val="00D77031"/>
    <w:rsid w:val="00D775C8"/>
    <w:rsid w:val="00D84941"/>
    <w:rsid w:val="00D84FA1"/>
    <w:rsid w:val="00D851F0"/>
    <w:rsid w:val="00D86DB7"/>
    <w:rsid w:val="00D87FC6"/>
    <w:rsid w:val="00D926D0"/>
    <w:rsid w:val="00D93030"/>
    <w:rsid w:val="00D950E1"/>
    <w:rsid w:val="00D952A6"/>
    <w:rsid w:val="00D9736B"/>
    <w:rsid w:val="00D97F99"/>
    <w:rsid w:val="00DA1E08"/>
    <w:rsid w:val="00DA24F8"/>
    <w:rsid w:val="00DA28E8"/>
    <w:rsid w:val="00DA38D3"/>
    <w:rsid w:val="00DA3932"/>
    <w:rsid w:val="00DA3AFC"/>
    <w:rsid w:val="00DA5191"/>
    <w:rsid w:val="00DA64F8"/>
    <w:rsid w:val="00DA6C15"/>
    <w:rsid w:val="00DB0258"/>
    <w:rsid w:val="00DB38EE"/>
    <w:rsid w:val="00DB498B"/>
    <w:rsid w:val="00DB6649"/>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36796"/>
    <w:rsid w:val="00E44A83"/>
    <w:rsid w:val="00E502C1"/>
    <w:rsid w:val="00E502DD"/>
    <w:rsid w:val="00E50D3A"/>
    <w:rsid w:val="00E51387"/>
    <w:rsid w:val="00E51E68"/>
    <w:rsid w:val="00E52EFD"/>
    <w:rsid w:val="00E5408A"/>
    <w:rsid w:val="00E56800"/>
    <w:rsid w:val="00E60C63"/>
    <w:rsid w:val="00E620F6"/>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0761"/>
    <w:rsid w:val="00F25BB6"/>
    <w:rsid w:val="00F26B7E"/>
    <w:rsid w:val="00F27A3B"/>
    <w:rsid w:val="00F33817"/>
    <w:rsid w:val="00F37F30"/>
    <w:rsid w:val="00F420D5"/>
    <w:rsid w:val="00F451EA"/>
    <w:rsid w:val="00F45447"/>
    <w:rsid w:val="00F456C6"/>
    <w:rsid w:val="00F4577B"/>
    <w:rsid w:val="00F46496"/>
    <w:rsid w:val="00F474D0"/>
    <w:rsid w:val="00F50179"/>
    <w:rsid w:val="00F515EE"/>
    <w:rsid w:val="00F56511"/>
    <w:rsid w:val="00F6194E"/>
    <w:rsid w:val="00F623AC"/>
    <w:rsid w:val="00F623D9"/>
    <w:rsid w:val="00F6412A"/>
    <w:rsid w:val="00F65893"/>
    <w:rsid w:val="00F66A4A"/>
    <w:rsid w:val="00F71E22"/>
    <w:rsid w:val="00F72142"/>
    <w:rsid w:val="00F72AE7"/>
    <w:rsid w:val="00F803AE"/>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353A"/>
    <w:rsid w:val="00FA4DAC"/>
    <w:rsid w:val="00FA5D33"/>
    <w:rsid w:val="00FA662D"/>
    <w:rsid w:val="00FA73B1"/>
    <w:rsid w:val="00FA7C98"/>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017C"/>
    <w:rsid w:val="00FE1FBE"/>
    <w:rsid w:val="00FE3901"/>
    <w:rsid w:val="00FE39D3"/>
    <w:rsid w:val="00FE4BCE"/>
    <w:rsid w:val="00FE54AE"/>
    <w:rsid w:val="00FE576A"/>
    <w:rsid w:val="00FE7E79"/>
    <w:rsid w:val="00FF09A0"/>
    <w:rsid w:val="00FF3E7D"/>
    <w:rsid w:val="00FF40D4"/>
    <w:rsid w:val="00FF5B99"/>
    <w:rsid w:val="00FF730C"/>
    <w:rsid w:val="00FF73F4"/>
    <w:rsid w:val="00FF7CE4"/>
    <w:rsid w:val="00FF7E39"/>
    <w:rsid w:val="03CB7D53"/>
    <w:rsid w:val="08DB0BA7"/>
    <w:rsid w:val="09D516AE"/>
    <w:rsid w:val="2663013D"/>
    <w:rsid w:val="2D6A4BE3"/>
    <w:rsid w:val="38897CBF"/>
    <w:rsid w:val="39ED5743"/>
    <w:rsid w:val="4ABA28A7"/>
    <w:rsid w:val="766E38BD"/>
    <w:rsid w:val="7D3440CB"/>
    <w:rsid w:val="7E2E4D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99"/>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uiPriority w:val="0"/>
    <w:rPr>
      <w:rFonts w:ascii="宋体" w:hAnsi="宋体" w:eastAsia="宋体" w:cs="Times New Roman"/>
      <w:spacing w:val="0"/>
      <w:sz w:val="18"/>
      <w:vertAlign w:val="superscript"/>
    </w:rPr>
  </w:style>
  <w:style w:type="character" w:customStyle="1" w:styleId="34">
    <w:name w:val="标题 1 字符"/>
    <w:link w:val="2"/>
    <w:uiPriority w:val="0"/>
    <w:rPr>
      <w:b/>
      <w:bCs/>
      <w:kern w:val="44"/>
      <w:sz w:val="44"/>
      <w:szCs w:val="44"/>
    </w:rPr>
  </w:style>
  <w:style w:type="character" w:customStyle="1" w:styleId="35">
    <w:name w:val="标题 2 字符"/>
    <w:link w:val="3"/>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ind w:left="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99"/>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ind w:left="0"/>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paragraph" w:customStyle="1" w:styleId="230">
    <w:name w:val="正文1"/>
    <w:qFormat/>
    <w:uiPriority w:val="0"/>
    <w:pPr>
      <w:jc w:val="both"/>
    </w:pPr>
    <w:rPr>
      <w:rFonts w:ascii="Calibri" w:hAnsi="Calibri" w:eastAsia="宋体" w:cs="Calibri"/>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2" Type="http://schemas.openxmlformats.org/officeDocument/2006/relationships/glossaryDocument" Target="glossary/document.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3.jpeg"/><Relationship Id="rId16" Type="http://schemas.openxmlformats.org/officeDocument/2006/relationships/image" Target="media/image2.jpe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F57CC9EE5D2543E0A19306E03C8C5E5D"/>
        <w:style w:val=""/>
        <w:category>
          <w:name w:val="常规"/>
          <w:gallery w:val="placeholder"/>
        </w:category>
        <w:types>
          <w:type w:val="bbPlcHdr"/>
        </w:types>
        <w:behaviors>
          <w:behavior w:val="content"/>
        </w:behaviors>
        <w:description w:val=""/>
        <w:guid w:val="{375119A5-AAD5-486E-A79F-FF66F52D687F}"/>
      </w:docPartPr>
      <w:docPartBody>
        <w:p w14:paraId="7A188EB6">
          <w:pPr>
            <w:pStyle w:val="5"/>
          </w:pPr>
          <w:r>
            <w:rPr>
              <w:rStyle w:val="4"/>
              <w:rFonts w:hint="eastAsia"/>
            </w:rPr>
            <w:t>单击或点击此处输入文字。</w:t>
          </w:r>
        </w:p>
      </w:docPartBody>
    </w:docPart>
    <w:docPart>
      <w:docPartPr>
        <w:name w:val="92F438B65B8F4F9F998C7AAE0C1CC122"/>
        <w:style w:val=""/>
        <w:category>
          <w:name w:val="常规"/>
          <w:gallery w:val="placeholder"/>
        </w:category>
        <w:types>
          <w:type w:val="bbPlcHdr"/>
        </w:types>
        <w:behaviors>
          <w:behavior w:val="content"/>
        </w:behaviors>
        <w:description w:val=""/>
        <w:guid w:val="{8624ED72-84D5-474D-A437-352D09672096}"/>
      </w:docPartPr>
      <w:docPartBody>
        <w:p w14:paraId="3DD1AB32">
          <w:pPr>
            <w:pStyle w:val="6"/>
          </w:pPr>
          <w:r>
            <w:rPr>
              <w:rStyle w:val="4"/>
              <w:rFonts w:hint="eastAsia"/>
            </w:rPr>
            <w:t>选择一项。</w:t>
          </w:r>
        </w:p>
      </w:docPartBody>
    </w:docPart>
    <w:docPart>
      <w:docPartPr>
        <w:name w:val="BBDE020A61DF4924B50FCDC392D7D31C"/>
        <w:style w:val=""/>
        <w:category>
          <w:name w:val="常规"/>
          <w:gallery w:val="placeholder"/>
        </w:category>
        <w:types>
          <w:type w:val="bbPlcHdr"/>
        </w:types>
        <w:behaviors>
          <w:behavior w:val="content"/>
        </w:behaviors>
        <w:description w:val=""/>
        <w:guid w:val="{9408A102-114C-43D7-89F8-9EF1EC354DA4}"/>
      </w:docPartPr>
      <w:docPartBody>
        <w:p w14:paraId="3343550B">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08C2"/>
    <w:rsid w:val="000A598C"/>
    <w:rsid w:val="001A3063"/>
    <w:rsid w:val="002425A8"/>
    <w:rsid w:val="002E02E0"/>
    <w:rsid w:val="00317685"/>
    <w:rsid w:val="0049671A"/>
    <w:rsid w:val="006E613C"/>
    <w:rsid w:val="00733523"/>
    <w:rsid w:val="00C108C2"/>
    <w:rsid w:val="00F51E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F57CC9EE5D2543E0A19306E03C8C5E5D"/>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92F438B65B8F4F9F998C7AAE0C1CC12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BBDE020A61DF4924B50FCDC392D7D31C"/>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F03465-9310-430F-A8A0-DFC80D2CA8A6}">
  <ds:schemaRefs/>
</ds:datastoreItem>
</file>

<file path=docProps/app.xml><?xml version="1.0" encoding="utf-8"?>
<Properties xmlns="http://schemas.openxmlformats.org/officeDocument/2006/extended-properties" xmlns:vt="http://schemas.openxmlformats.org/officeDocument/2006/docPropsVTypes">
  <Template>地方标准.dotx</Template>
  <Company>PCMI</Company>
  <Pages>8</Pages>
  <Words>2748</Words>
  <Characters>3164</Characters>
  <Lines>27</Lines>
  <Paragraphs>7</Paragraphs>
  <TotalTime>18</TotalTime>
  <ScaleCrop>false</ScaleCrop>
  <LinksUpToDate>false</LinksUpToDate>
  <CharactersWithSpaces>3317</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2024-10-31T09:10:00Z</dcterms:created>
  <dc:creator>Yeyun Li</dc:creator>
  <dc:description>&lt;config cover="true" show_menu="true" version="1.0.0" doctype="SDKXY"&gt;_x000d_
&lt;/config&gt;</dc:description>
  <cp:lastModifiedBy>happytea</cp:lastModifiedBy>
  <cp:lastPrinted>2020-08-30T10:00:00Z</cp:lastPrinted>
  <dcterms:modified xsi:type="dcterms:W3CDTF">2024-11-05T02:11:41Z</dcterms:modified>
  <dc:title>地方标准</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2052-12.1.0.18608</vt:lpwstr>
  </property>
  <property fmtid="{D5CDD505-2E9C-101B-9397-08002B2CF9AE}" pid="15" name="ICV">
    <vt:lpwstr>6F5F1159F0DA43C0BB0BA834F0F047A5_13</vt:lpwstr>
  </property>
</Properties>
</file>